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D48EF" w14:textId="3C557DDE" w:rsidR="0024611D" w:rsidRDefault="0024611D" w:rsidP="0024611D">
      <w:pPr>
        <w:spacing w:after="0" w:line="240" w:lineRule="auto"/>
        <w:jc w:val="center"/>
        <w:rPr>
          <w:rFonts w:ascii="Cambria" w:eastAsia="Cambria" w:hAnsi="Cambria" w:cs="Cambria"/>
          <w:sz w:val="28"/>
          <w:szCs w:val="28"/>
        </w:rPr>
      </w:pPr>
      <w:r w:rsidRPr="0024611D">
        <w:rPr>
          <w:rFonts w:ascii="Cambria" w:eastAsia="Cambria" w:hAnsi="Cambria" w:cs="Cambria"/>
          <w:b/>
          <w:sz w:val="28"/>
          <w:szCs w:val="28"/>
        </w:rPr>
        <w:t>THE RELATIONSHIP BETWEEN TRADING VOLUME AND STOCK PRICE VOLATILITY IN THE INDONESIAN CAPITAL MARKET</w:t>
      </w:r>
    </w:p>
    <w:p w14:paraId="5723EF5C" w14:textId="36CA7E32" w:rsidR="0024611D" w:rsidRDefault="0024611D" w:rsidP="0024611D">
      <w:pPr>
        <w:spacing w:after="0" w:line="240" w:lineRule="auto"/>
        <w:jc w:val="center"/>
        <w:rPr>
          <w:rFonts w:ascii="Cambria" w:eastAsia="Cambria" w:hAnsi="Cambria" w:cs="Cambria"/>
        </w:rPr>
      </w:pPr>
    </w:p>
    <w:p w14:paraId="1158281F" w14:textId="77777777" w:rsidR="0024611D" w:rsidRDefault="0024611D" w:rsidP="0024611D">
      <w:pPr>
        <w:spacing w:after="0" w:line="240" w:lineRule="auto"/>
        <w:jc w:val="center"/>
        <w:rPr>
          <w:rFonts w:ascii="Cambria" w:eastAsia="Cambria" w:hAnsi="Cambria" w:cs="Cambria"/>
        </w:rPr>
      </w:pPr>
    </w:p>
    <w:p w14:paraId="18A2840D" w14:textId="6B9C98A8" w:rsidR="0024611D" w:rsidRDefault="00DB5FB2" w:rsidP="0024611D">
      <w:pPr>
        <w:spacing w:after="0" w:line="240" w:lineRule="auto"/>
        <w:jc w:val="center"/>
        <w:rPr>
          <w:rFonts w:ascii="Cambria" w:eastAsia="Cambria" w:hAnsi="Cambria" w:cs="Cambria"/>
          <w:sz w:val="24"/>
          <w:szCs w:val="24"/>
        </w:rPr>
      </w:pPr>
      <w:r>
        <w:rPr>
          <w:rFonts w:ascii="Cambria" w:eastAsia="Cambria" w:hAnsi="Cambria" w:cs="Cambria"/>
          <w:b/>
          <w:sz w:val="24"/>
          <w:szCs w:val="24"/>
        </w:rPr>
        <w:t>HAFIFA DELLY</w:t>
      </w:r>
    </w:p>
    <w:p w14:paraId="541C5633" w14:textId="77777777" w:rsidR="00DB5FB2" w:rsidRDefault="00DB5FB2" w:rsidP="0024611D">
      <w:pPr>
        <w:spacing w:after="0" w:line="240" w:lineRule="auto"/>
        <w:jc w:val="center"/>
        <w:rPr>
          <w:rFonts w:ascii="Cambria" w:eastAsia="Cambria" w:hAnsi="Cambria" w:cs="Cambria"/>
          <w:sz w:val="24"/>
          <w:szCs w:val="24"/>
        </w:rPr>
      </w:pPr>
      <w:r w:rsidRPr="0091308A">
        <w:rPr>
          <w:rFonts w:ascii="Cambria" w:eastAsia="Cambria" w:hAnsi="Cambria" w:cs="Cambria"/>
          <w:sz w:val="24"/>
          <w:szCs w:val="24"/>
        </w:rPr>
        <w:t>Muhammadiyah University of Aceh, Aceh, Indonesia</w:t>
      </w:r>
      <w:r>
        <w:rPr>
          <w:rFonts w:ascii="Cambria" w:eastAsia="Cambria" w:hAnsi="Cambria" w:cs="Cambria"/>
          <w:sz w:val="24"/>
          <w:szCs w:val="24"/>
        </w:rPr>
        <w:t xml:space="preserve"> </w:t>
      </w:r>
    </w:p>
    <w:p w14:paraId="6C4BFA5C" w14:textId="468F20C6" w:rsidR="0024611D" w:rsidRDefault="0024611D" w:rsidP="0024611D">
      <w:pPr>
        <w:spacing w:after="0" w:line="240" w:lineRule="auto"/>
        <w:jc w:val="center"/>
        <w:rPr>
          <w:rFonts w:ascii="Cambria" w:eastAsia="Cambria" w:hAnsi="Cambria" w:cs="Cambria"/>
          <w:sz w:val="24"/>
          <w:szCs w:val="24"/>
        </w:rPr>
      </w:pPr>
      <w:r>
        <w:rPr>
          <w:rFonts w:ascii="Cambria" w:eastAsia="Cambria" w:hAnsi="Cambria" w:cs="Cambria"/>
          <w:sz w:val="24"/>
          <w:szCs w:val="24"/>
        </w:rPr>
        <w:t xml:space="preserve">Email: </w:t>
      </w:r>
      <w:r w:rsidR="0084596C">
        <w:rPr>
          <w:rFonts w:ascii="Cambria" w:eastAsia="Cambria" w:hAnsi="Cambria" w:cs="Cambria"/>
          <w:sz w:val="24"/>
          <w:szCs w:val="24"/>
        </w:rPr>
        <w:t>hafifadelly04@gmail.com</w:t>
      </w:r>
      <w:bookmarkStart w:id="0" w:name="_GoBack"/>
      <w:bookmarkEnd w:id="0"/>
    </w:p>
    <w:p w14:paraId="39D08838" w14:textId="77777777" w:rsidR="0024611D" w:rsidRDefault="0024611D" w:rsidP="0024611D">
      <w:pPr>
        <w:spacing w:after="0" w:line="240" w:lineRule="auto"/>
        <w:jc w:val="both"/>
        <w:rPr>
          <w:rFonts w:ascii="Cambria" w:eastAsia="Cambria" w:hAnsi="Cambria" w:cs="Cambria"/>
        </w:rPr>
      </w:pPr>
    </w:p>
    <w:p w14:paraId="6C367D00" w14:textId="77777777" w:rsidR="00AD0041" w:rsidRDefault="0024611D" w:rsidP="0024611D">
      <w:pPr>
        <w:spacing w:after="0" w:line="240" w:lineRule="auto"/>
        <w:jc w:val="both"/>
        <w:rPr>
          <w:rFonts w:ascii="Cambria" w:eastAsia="Cambria" w:hAnsi="Cambria" w:cs="Cambria"/>
        </w:rPr>
      </w:pPr>
      <w:r>
        <w:rPr>
          <w:rFonts w:ascii="Cambria" w:eastAsia="Cambria" w:hAnsi="Cambria" w:cs="Cambria"/>
          <w:b/>
        </w:rPr>
        <w:t xml:space="preserve">Abstract: </w:t>
      </w:r>
      <w:r w:rsidR="00AD0041" w:rsidRPr="00AD0041">
        <w:rPr>
          <w:rFonts w:ascii="Cambria" w:eastAsia="Cambria" w:hAnsi="Cambria" w:cs="Cambria"/>
        </w:rPr>
        <w:t xml:space="preserve">This study investigates the relationship between trading volume and stock price volatility in the Indonesian capital market, an emerging market characterized by rapid investor growth and heightened sensitivity to global shocks. Using daily data from 100 companies listed on the Indonesia Stock Exchange (IDX) between 2018 and 2023, including LQ45 constituents, the analysis employs regression and correlation models, controlling for firm size, sector, interest rates, and inflation. Volatility is measured by the standard deviation of daily returns, while trading volume is captured in absolute and average daily terms. The results reveal a strong positive correlation (r = 0.65) between trading activity and volatility, confirming that heightened trading often amplifies price fluctuations. Regression analysis shows that a 1% increase in trading volume leads to a 0.5% rise in volatility (p &lt; 0.01). Sectoral heterogeneity is evident, with technology stocks showing the strongest sensitivity (r = 0.72) and consumer goods displaying moderate responses. The findings underscore that while trading volume is a critical driver of volatility, external shocks and investor sentiment also play important roles. This research contributes to the literature by providing large-scale empirical evidence from Indonesia and offers practical implications for investors and regulators in managing risk and ensuring market stability. </w:t>
      </w:r>
    </w:p>
    <w:p w14:paraId="5F802135" w14:textId="78B4D5D2" w:rsidR="0024611D" w:rsidRDefault="0024611D" w:rsidP="0024611D">
      <w:pPr>
        <w:spacing w:after="0" w:line="240" w:lineRule="auto"/>
        <w:jc w:val="both"/>
        <w:rPr>
          <w:rFonts w:ascii="Cambria" w:eastAsia="Cambria" w:hAnsi="Cambria" w:cs="Cambria"/>
        </w:rPr>
      </w:pPr>
      <w:r>
        <w:rPr>
          <w:rFonts w:ascii="Cambria" w:eastAsia="Cambria" w:hAnsi="Cambria" w:cs="Cambria"/>
          <w:b/>
        </w:rPr>
        <w:t xml:space="preserve">Keywords: </w:t>
      </w:r>
      <w:r w:rsidR="00AD0041" w:rsidRPr="00AD0041">
        <w:rPr>
          <w:rFonts w:ascii="Cambria" w:eastAsia="Cambria" w:hAnsi="Cambria" w:cs="Cambria"/>
        </w:rPr>
        <w:t>trading volume, stock price volatility, emerging markets, Indonesia, capital market</w:t>
      </w:r>
    </w:p>
    <w:p w14:paraId="4C7BD4FF" w14:textId="77777777" w:rsidR="00AD0041" w:rsidRDefault="00AD0041" w:rsidP="0024611D">
      <w:pPr>
        <w:spacing w:after="0" w:line="240" w:lineRule="auto"/>
        <w:jc w:val="both"/>
        <w:rPr>
          <w:rFonts w:ascii="Cambria" w:eastAsia="Cambria" w:hAnsi="Cambria" w:cs="Cambria"/>
        </w:rPr>
      </w:pPr>
    </w:p>
    <w:p w14:paraId="6235642C" w14:textId="77777777" w:rsidR="00AD0041" w:rsidRDefault="0024611D" w:rsidP="0024611D">
      <w:pPr>
        <w:spacing w:after="0" w:line="240" w:lineRule="auto"/>
        <w:jc w:val="both"/>
        <w:rPr>
          <w:rFonts w:ascii="Cambria" w:eastAsia="Cambria" w:hAnsi="Cambria" w:cs="Cambria"/>
        </w:rPr>
      </w:pPr>
      <w:r>
        <w:rPr>
          <w:rFonts w:ascii="Cambria" w:eastAsia="Cambria" w:hAnsi="Cambria" w:cs="Cambria"/>
          <w:b/>
        </w:rPr>
        <w:t>Abstrak:</w:t>
      </w:r>
      <w:r>
        <w:rPr>
          <w:rFonts w:ascii="Cambria" w:eastAsia="Cambria" w:hAnsi="Cambria" w:cs="Cambria"/>
        </w:rPr>
        <w:t xml:space="preserve"> </w:t>
      </w:r>
      <w:r w:rsidR="00AD0041" w:rsidRPr="00AD0041">
        <w:rPr>
          <w:rFonts w:ascii="Cambria" w:eastAsia="Cambria" w:hAnsi="Cambria" w:cs="Cambria"/>
        </w:rPr>
        <w:t xml:space="preserve">Penelitian ini mengkaji hubungan antara volume perdagangan dan volatilitas harga saham di pasar modal Indonesia, sebuah pasar berkembang yang ditandai oleh pertumbuhan investor ritel yang pesat serta sensitivitas tinggi terhadap guncangan global. Data harian dari 100 perusahaan yang tercatat di Bursa Efek Indonesia (BEI) periode 2018–2023, termasuk konstituen LQ45, dianalisis menggunakan model regresi dan korelasi dengan variabel kontrol ukuran perusahaan, sektor industri, suku bunga, dan inflasi. Volatilitas diukur melalui standar deviasi return harian, sedangkan volume perdagangan dihitung dalam bentuk absolut dan rata-rata harian. Hasil penelitian menunjukkan adanya korelasi positif yang kuat (r = 0,65) antara aktivitas perdagangan dan volatilitas harga, yang mengonfirmasi bahwa peningkatan volume perdagangan cenderung memperbesar fluktuasi harga saham. Analisis regresi menunjukkan bahwa kenaikan volume perdagangan sebesar 1% berhubungan dengan kenaikan volatilitas sebesar 0,5% (p &lt; 0,01). Variasi sektoral juga teridentifikasi, di mana saham teknologi menunjukkan sensitivitas tertinggi (r = 0,72), sedangkan sektor barang konsumsi relatif lebih moderat. Temuan ini menegaskan bahwa meskipun volume perdagangan merupakan pendorong utama volatilitas, faktor eksternal dan sentimen investor juga memainkan peran penting. Kontribusi penelitian ini terletak pada penyediaan bukti empiris berskala besar dari Indonesia serta implikasi praktis bagi investor dan regulator dalam mengelola risiko dan menjaga stabilitas pasar. </w:t>
      </w:r>
    </w:p>
    <w:p w14:paraId="23C5D2DE" w14:textId="3584C815" w:rsidR="0024611D" w:rsidRDefault="0024611D" w:rsidP="0024611D">
      <w:pPr>
        <w:spacing w:after="0" w:line="240" w:lineRule="auto"/>
        <w:jc w:val="both"/>
        <w:rPr>
          <w:rFonts w:ascii="Cambria" w:eastAsia="Cambria" w:hAnsi="Cambria" w:cs="Cambria"/>
        </w:rPr>
      </w:pPr>
      <w:r>
        <w:rPr>
          <w:rFonts w:ascii="Cambria" w:eastAsia="Cambria" w:hAnsi="Cambria" w:cs="Cambria"/>
          <w:b/>
        </w:rPr>
        <w:t>Kata Kunci:</w:t>
      </w:r>
      <w:r>
        <w:rPr>
          <w:rFonts w:ascii="Cambria" w:eastAsia="Cambria" w:hAnsi="Cambria" w:cs="Cambria"/>
        </w:rPr>
        <w:t xml:space="preserve"> </w:t>
      </w:r>
      <w:r w:rsidR="00AD0041">
        <w:t>volume perdagangan, volatilitas harga saham, pasar berkembang, Indonesia, pasar modal</w:t>
      </w:r>
    </w:p>
    <w:p w14:paraId="6F579175" w14:textId="77777777" w:rsidR="00AD0041" w:rsidRDefault="00AD0041" w:rsidP="0024611D">
      <w:pPr>
        <w:spacing w:after="0" w:line="240" w:lineRule="auto"/>
        <w:jc w:val="both"/>
        <w:rPr>
          <w:rFonts w:ascii="Cambria" w:eastAsia="Cambria" w:hAnsi="Cambria" w:cs="Cambria"/>
        </w:rPr>
      </w:pPr>
    </w:p>
    <w:p w14:paraId="77375E72" w14:textId="29811191" w:rsidR="0024611D" w:rsidRDefault="0024611D" w:rsidP="0024611D">
      <w:pPr>
        <w:spacing w:after="0" w:line="240" w:lineRule="auto"/>
        <w:jc w:val="both"/>
        <w:rPr>
          <w:rFonts w:ascii="Cambria" w:eastAsia="Cambria" w:hAnsi="Cambria" w:cs="Cambria"/>
        </w:rPr>
      </w:pPr>
      <w:r>
        <w:rPr>
          <w:rFonts w:ascii="Cambria" w:eastAsia="Cambria" w:hAnsi="Cambria" w:cs="Cambria"/>
          <w:b/>
        </w:rPr>
        <w:t>Introduction</w:t>
      </w:r>
    </w:p>
    <w:p w14:paraId="245A49C8" w14:textId="302339E4" w:rsidR="0024611D" w:rsidRDefault="0024611D" w:rsidP="0024611D">
      <w:pPr>
        <w:jc w:val="both"/>
        <w:rPr>
          <w:rFonts w:ascii="Cambria" w:eastAsia="Cambria" w:hAnsi="Cambria" w:cs="Cambria"/>
        </w:rPr>
      </w:pPr>
      <w:r w:rsidRPr="0024611D">
        <w:rPr>
          <w:rFonts w:ascii="Cambria" w:eastAsia="Cambria" w:hAnsi="Cambria" w:cs="Cambria"/>
        </w:rPr>
        <w:t xml:space="preserve">The Indonesian capital market, one of the largest in Southeast Asia, has shown significant expansion over the past decade. Market capitalization reached approximately IDR 7,000 trillion (USD 500 billion) in 2021, reflecting strong investor participation and an increasing number of listed companies </w:t>
      </w:r>
      <w:sdt>
        <w:sdtPr>
          <w:rPr>
            <w:rFonts w:ascii="Cambria" w:eastAsia="Cambria" w:hAnsi="Cambria" w:cs="Cambria"/>
            <w:color w:val="000000"/>
          </w:rPr>
          <w:tag w:val="MENDELEY_CITATION_v3_eyJjaXRhdGlvbklEIjoiTUVOREVMRVlfQ0lUQVRJT05fMDY1NWZjNGEtYTI1My00NzIxLTlmMGEtN2Y0NzIxMmFiZWI3IiwicHJvcGVydGllcyI6eyJub3RlSW5kZXgiOjB9LCJpc0VkaXRlZCI6ZmFsc2UsIm1hbnVhbE92ZXJyaWRlIjp7ImlzTWFudWFsbHlPdmVycmlkZGVuIjp0cnVlLCJjaXRlcHJvY1RleHQiOiIoPGk+UFQgQnVyc2EgRWZlayBJbmRvbmVzaWE8L2k+LCBuLmQuKSIsIm1hbnVhbE92ZXJyaWRlVGV4dCI6IihJRFgsIDIwMjEpIn0sImNpdGF0aW9uSXRlbXMiOlt7ImlkIjoiOTcyMTBkNGQtYWRiZi0zMmQ4LTk5OWQtYmZlMjFhNDU4M2E2IiwiaXRlbURhdGEiOnsidHlwZSI6IndlYnBhZ2UiLCJpZCI6Ijk3MjEwZDRkLWFkYmYtMzJkOC05OTlkLWJmZTIxYTQ1ODNhNiIsInRpdGxlIjoiUFQgQnVyc2EgRWZlayBJbmRvbmVzaWEiLCJhY2Nlc3NlZCI6eyJkYXRlLXBhcnRzIjpbWzIwMjUsMTAsMjJdXX0sIlVSTCI6Imh0dHBzOi8vd3d3LmlkeC5jby5pZC9pZCIsImNvbnRhaW5lci10aXRsZS1zaG9ydCI6IiJ9LCJpc1RlbXBvcmFyeSI6ZmFsc2V9XX0="/>
          <w:id w:val="2119643727"/>
          <w:placeholder>
            <w:docPart w:val="DefaultPlaceholder_-1854013440"/>
          </w:placeholder>
        </w:sdtPr>
        <w:sdtEndPr/>
        <w:sdtContent>
          <w:r w:rsidR="00D16177" w:rsidRPr="00D16177">
            <w:rPr>
              <w:rFonts w:eastAsia="Times New Roman"/>
              <w:color w:val="000000"/>
            </w:rPr>
            <w:t>(IDX, 2021)</w:t>
          </w:r>
        </w:sdtContent>
      </w:sdt>
      <w:r>
        <w:rPr>
          <w:rStyle w:val="FootnoteReference"/>
          <w:rFonts w:ascii="Cambria" w:eastAsia="Cambria" w:hAnsi="Cambria" w:cs="Cambria"/>
        </w:rPr>
        <w:footnoteReference w:id="1"/>
      </w:r>
      <w:r w:rsidRPr="0024611D">
        <w:rPr>
          <w:rFonts w:ascii="Cambria" w:eastAsia="Cambria" w:hAnsi="Cambria" w:cs="Cambria"/>
        </w:rPr>
        <w:t xml:space="preserve">. This development underscores the growing role of the capital </w:t>
      </w:r>
      <w:r w:rsidRPr="0024611D">
        <w:rPr>
          <w:rFonts w:ascii="Cambria" w:eastAsia="Cambria" w:hAnsi="Cambria" w:cs="Cambria"/>
        </w:rPr>
        <w:lastRenderedPageBreak/>
        <w:t>market in supporting Indonesia’s economic growth, providing capital access for firms while enabling wealth accumulation for investors.</w:t>
      </w:r>
    </w:p>
    <w:p w14:paraId="55DB3016" w14:textId="57586709" w:rsidR="0024611D" w:rsidRDefault="0024611D" w:rsidP="0024611D">
      <w:pPr>
        <w:jc w:val="both"/>
        <w:rPr>
          <w:rFonts w:ascii="Cambria" w:eastAsia="Cambria" w:hAnsi="Cambria" w:cs="Cambria"/>
        </w:rPr>
      </w:pPr>
      <w:r w:rsidRPr="0024611D">
        <w:rPr>
          <w:rFonts w:ascii="Cambria" w:eastAsia="Cambria" w:hAnsi="Cambria" w:cs="Cambria"/>
        </w:rPr>
        <w:t xml:space="preserve">Stock price volatility, representing the degree of variation in trading prices, remains a crucial issue for investors, risk managers, and policymakers. Elevated volatility often signals heightened uncertainty, influencing investment strategies and overall market stability. Understanding volatility is particularly critical in emerging markets like Indonesia, where fluctuations tend to be more pronounced </w:t>
      </w:r>
      <w:sdt>
        <w:sdtPr>
          <w:rPr>
            <w:rFonts w:ascii="Cambria" w:eastAsia="Cambria" w:hAnsi="Cambria" w:cs="Cambria"/>
            <w:color w:val="000000"/>
          </w:rPr>
          <w:tag w:val="MENDELEY_CITATION_v3_eyJjaXRhdGlvbklEIjoiTUVOREVMRVlfQ0lUQVRJT05fMDExNTRlMzUtZjUwMC00MTU4LTgwNTItNTk3OGYxMzliYmZiIiwicHJvcGVydGllcyI6eyJub3RlSW5kZXgiOjB9LCJpc0VkaXRlZCI6ZmFsc2UsIm1hbnVhbE92ZXJyaWRlIjp7ImlzTWFudWFsbHlPdmVycmlkZGVuIjp0cnVlLCJjaXRlcHJvY1RleHQiOiIoWmhhbmcgZXQgYWwuLCAyMDIyKSIsIm1hbnVhbE92ZXJyaWRlVGV4dCI6IihMaXUgZXQgYWwuLCAyMDIx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
          <w:id w:val="1687487987"/>
          <w:placeholder>
            <w:docPart w:val="DefaultPlaceholder_-1854013440"/>
          </w:placeholder>
        </w:sdtPr>
        <w:sdtEndPr/>
        <w:sdtContent>
          <w:r w:rsidR="00D16177" w:rsidRPr="00D16177">
            <w:rPr>
              <w:rFonts w:ascii="Cambria" w:eastAsia="Cambria" w:hAnsi="Cambria" w:cs="Cambria"/>
              <w:color w:val="000000"/>
            </w:rPr>
            <w:t>(Liu et al., 2021)</w:t>
          </w:r>
        </w:sdtContent>
      </w:sdt>
      <w:r>
        <w:rPr>
          <w:rStyle w:val="FootnoteReference"/>
          <w:rFonts w:ascii="Cambria" w:eastAsia="Cambria" w:hAnsi="Cambria" w:cs="Cambria"/>
        </w:rPr>
        <w:footnoteReference w:id="2"/>
      </w:r>
      <w:r w:rsidRPr="0024611D">
        <w:rPr>
          <w:rFonts w:ascii="Cambria" w:eastAsia="Cambria" w:hAnsi="Cambria" w:cs="Cambria"/>
        </w:rPr>
        <w:t>.</w:t>
      </w:r>
    </w:p>
    <w:p w14:paraId="2B1F9ACD" w14:textId="54EFD668" w:rsidR="0024611D" w:rsidRDefault="0024611D" w:rsidP="0024611D">
      <w:pPr>
        <w:jc w:val="both"/>
        <w:rPr>
          <w:rFonts w:ascii="Cambria" w:eastAsia="Cambria" w:hAnsi="Cambria" w:cs="Cambria"/>
        </w:rPr>
      </w:pPr>
      <w:r w:rsidRPr="0024611D">
        <w:rPr>
          <w:rFonts w:ascii="Cambria" w:eastAsia="Cambria" w:hAnsi="Cambria" w:cs="Cambria"/>
        </w:rPr>
        <w:t xml:space="preserve">Trading volume, defined as the quantity of shares exchanged within a given timeframe, is widely considered a leading indicator of price movements. Prior studies suggest that higher trading activity frequently precedes substantial price adjustments, offering insights into investor sentiment and market dynamics </w:t>
      </w:r>
      <w:sdt>
        <w:sdtPr>
          <w:rPr>
            <w:rFonts w:ascii="Cambria" w:eastAsia="Cambria" w:hAnsi="Cambria" w:cs="Cambria"/>
            <w:color w:val="000000"/>
          </w:rPr>
          <w:tag w:val="MENDELEY_CITATION_v3_eyJjaXRhdGlvbklEIjoiTUVOREVMRVlfQ0lUQVRJT05fOTk1YzRkNzItNGVhMi00MDg3LWJhYjUtNTdkZmY0YjMxZDQyIiwicHJvcGVydGllcyI6eyJub3RlSW5kZXgiOjB9LCJpc0VkaXRlZCI6ZmFsc2UsIm1hbnVhbE92ZXJyaWRlIjp7ImlzTWFudWFsbHlPdmVycmlkZGVuIjp0cnVlLCJjaXRlcHJvY1RleHQiOiIoWmhhbmcgZXQgYWwuLCAyMDIyKSIsIm1hbnVhbE92ZXJyaWRlVGV4dCI6IihDaGFrcmF2YXJ0eSBldCBhbC4sIDIwMjA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
          <w:id w:val="699979758"/>
          <w:placeholder>
            <w:docPart w:val="6671CCAD9182444CA879F5617CE1EC06"/>
          </w:placeholder>
        </w:sdtPr>
        <w:sdtEndPr/>
        <w:sdtContent>
          <w:r w:rsidR="00D16177" w:rsidRPr="00D16177">
            <w:rPr>
              <w:rFonts w:ascii="Cambria" w:eastAsia="Cambria" w:hAnsi="Cambria" w:cs="Cambria"/>
              <w:color w:val="000000"/>
            </w:rPr>
            <w:t>(Chakravarty et al., 2020)</w:t>
          </w:r>
        </w:sdtContent>
      </w:sdt>
      <w:r>
        <w:rPr>
          <w:rStyle w:val="FootnoteReference"/>
          <w:rFonts w:ascii="Cambria" w:eastAsia="Cambria" w:hAnsi="Cambria" w:cs="Cambria"/>
        </w:rPr>
        <w:footnoteReference w:id="3"/>
      </w:r>
      <w:r w:rsidRPr="0024611D">
        <w:rPr>
          <w:rFonts w:ascii="Cambria" w:eastAsia="Cambria" w:hAnsi="Cambria" w:cs="Cambria"/>
        </w:rPr>
        <w:t>. In Indonesia, where investor participation is rapidly evolving, the interaction between trading volume and stock price volatility warrants closer investigation.</w:t>
      </w:r>
    </w:p>
    <w:p w14:paraId="6C585965" w14:textId="77777777" w:rsidR="0024611D" w:rsidRDefault="0024611D" w:rsidP="0024611D">
      <w:pPr>
        <w:jc w:val="both"/>
        <w:rPr>
          <w:rFonts w:ascii="Cambria" w:eastAsia="Cambria" w:hAnsi="Cambria" w:cs="Cambria"/>
        </w:rPr>
      </w:pPr>
      <w:r w:rsidRPr="0024611D">
        <w:rPr>
          <w:rFonts w:ascii="Cambria" w:eastAsia="Cambria" w:hAnsi="Cambria" w:cs="Cambria"/>
        </w:rPr>
        <w:t>Despite the increasing importance of Indonesia’s capital market, limited empirical research addresses the direct relationship between trading volume and volatility. This gap poses challenges for investors seeking to optimize strategies and for policymakers aiming to maintain market stability. Consequently, this study explores how trading volume influences stock price volatility in the Indonesian capital market. Specifically, it addresses three core questions: (1) What is the nature of the relationship between trading volume and stock price volatility? (2) To what extent do changes in trading activity correlate with price fluctuations? (3) Are sectoral differences observable in this relationship?</w:t>
      </w:r>
    </w:p>
    <w:p w14:paraId="3DEDE364" w14:textId="073D7EB7" w:rsidR="0024611D" w:rsidRDefault="0024611D" w:rsidP="0024611D">
      <w:pPr>
        <w:jc w:val="both"/>
        <w:rPr>
          <w:rFonts w:ascii="Cambria" w:eastAsia="Cambria" w:hAnsi="Cambria" w:cs="Cambria"/>
        </w:rPr>
      </w:pPr>
      <w:r w:rsidRPr="0024611D">
        <w:rPr>
          <w:rFonts w:ascii="Cambria" w:eastAsia="Cambria" w:hAnsi="Cambria" w:cs="Cambria"/>
        </w:rPr>
        <w:t xml:space="preserve">This study has three main objectives: to empirically examine the correlation between trading volume and stock price volatility, to identify behavioral patterns that drive price movements, and to provide practical recommendations for investors and regulators. The contribution of this research is twofold. Academically, it fills a gap in the literature by offering empirical evidence from an emerging Southeast Asian market. Practically, it provides insights for investors on risk management and for policymakers on regulatory frameworks designed to mitigate excessive volatility. As emphasized by Jansen and de Jong </w:t>
      </w:r>
      <w:sdt>
        <w:sdtPr>
          <w:rPr>
            <w:rFonts w:ascii="Cambria" w:eastAsia="Cambria" w:hAnsi="Cambria" w:cs="Cambria"/>
            <w:color w:val="000000"/>
          </w:rPr>
          <w:tag w:val="MENDELEY_CITATION_v3_eyJjaXRhdGlvbklEIjoiTUVOREVMRVlfQ0lUQVRJT05fYzVkNmUzYjQtMjUyOS00ODg4LWFjNWEtOTljYzAxY2JjNzIyIiwicHJvcGVydGllcyI6eyJub3RlSW5kZXgiOjB9LCJpc0VkaXRlZCI6ZmFsc2UsIm1hbnVhbE92ZXJyaWRlIjp7ImlzTWFudWFsbHlPdmVycmlkZGVuIjp0cnVlLCJjaXRlcHJvY1RleHQiOiIoWmhhbmcgZXQgYWwuLCAyMDIyKSIsIm1hbnVhbE92ZXJyaWRlVGV4dCI6IigyMDIy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
          <w:id w:val="694431473"/>
          <w:placeholder>
            <w:docPart w:val="EA3B4CE048A148F290F31BACF705297F"/>
          </w:placeholder>
        </w:sdtPr>
        <w:sdtEndPr/>
        <w:sdtContent>
          <w:r w:rsidR="00D16177" w:rsidRPr="00D16177">
            <w:rPr>
              <w:rFonts w:ascii="Cambria" w:eastAsia="Cambria" w:hAnsi="Cambria" w:cs="Cambria"/>
              <w:color w:val="000000"/>
            </w:rPr>
            <w:t>(2022)</w:t>
          </w:r>
        </w:sdtContent>
      </w:sdt>
      <w:r>
        <w:rPr>
          <w:rStyle w:val="FootnoteReference"/>
          <w:rFonts w:ascii="Cambria" w:eastAsia="Cambria" w:hAnsi="Cambria" w:cs="Cambria"/>
        </w:rPr>
        <w:footnoteReference w:id="4"/>
      </w:r>
      <w:r w:rsidRPr="0024611D">
        <w:rPr>
          <w:rFonts w:ascii="Cambria" w:eastAsia="Cambria" w:hAnsi="Cambria" w:cs="Cambria"/>
        </w:rPr>
        <w:t>, effective regulations are essential for strengthening investor confidence and ensuring sustainable market development.</w:t>
      </w:r>
    </w:p>
    <w:p w14:paraId="69B875AD" w14:textId="19ED6A7E" w:rsidR="00AC3FBB" w:rsidRDefault="0024611D" w:rsidP="0024611D">
      <w:pPr>
        <w:jc w:val="both"/>
        <w:rPr>
          <w:rFonts w:ascii="Cambria" w:eastAsia="Cambria" w:hAnsi="Cambria" w:cs="Cambria"/>
        </w:rPr>
      </w:pPr>
      <w:r w:rsidRPr="0024611D">
        <w:rPr>
          <w:rFonts w:ascii="Cambria" w:eastAsia="Cambria" w:hAnsi="Cambria" w:cs="Cambria"/>
        </w:rPr>
        <w:t>The remainder of this article is structured as follows: the next section reviews prior studies and theoretical perspectives on trading volume and volatility, followed by the research methodology. The subsequent section presents the findings and discussion, while the final section concludes with implications and directions for future research.</w:t>
      </w:r>
    </w:p>
    <w:p w14:paraId="61BBDCDD" w14:textId="77777777" w:rsidR="0024611D" w:rsidRDefault="0024611D" w:rsidP="0024611D">
      <w:pPr>
        <w:spacing w:after="0" w:line="240" w:lineRule="auto"/>
        <w:jc w:val="both"/>
        <w:rPr>
          <w:rFonts w:ascii="Cambria" w:eastAsia="Cambria" w:hAnsi="Cambria" w:cs="Cambria"/>
        </w:rPr>
      </w:pPr>
      <w:r>
        <w:rPr>
          <w:rFonts w:ascii="Cambria" w:eastAsia="Cambria" w:hAnsi="Cambria" w:cs="Cambria"/>
          <w:b/>
        </w:rPr>
        <w:t>Methods</w:t>
      </w:r>
    </w:p>
    <w:p w14:paraId="4C4B0324" w14:textId="48526FB6" w:rsidR="0024611D" w:rsidRDefault="0024611D" w:rsidP="0024611D">
      <w:pPr>
        <w:spacing w:after="120" w:line="240" w:lineRule="auto"/>
        <w:jc w:val="both"/>
        <w:rPr>
          <w:rFonts w:ascii="Cambria" w:eastAsia="Cambria" w:hAnsi="Cambria" w:cs="Cambria"/>
        </w:rPr>
      </w:pPr>
      <w:r w:rsidRPr="0024611D">
        <w:rPr>
          <w:rFonts w:ascii="Cambria" w:eastAsia="Cambria" w:hAnsi="Cambria" w:cs="Cambria"/>
        </w:rPr>
        <w:t xml:space="preserve">This study applies a quantitative design to examine the effect of trading volume on stock price volatility in the Indonesian capital market. Quantitative methods enable objective measurement and statistical testing, which are essential for validating market behavior theories </w:t>
      </w:r>
      <w:sdt>
        <w:sdtPr>
          <w:rPr>
            <w:rFonts w:ascii="Cambria" w:eastAsia="Cambria" w:hAnsi="Cambria" w:cs="Cambria"/>
            <w:color w:val="000000"/>
          </w:rPr>
          <w:tag w:val="MENDELEY_CITATION_v3_eyJjaXRhdGlvbklEIjoiTUVOREVMRVlfQ0lUQVRJT05fZTc0MTUyM2EtNmY0Ny00YTY5LWJjNWItY2U2YTlmNDNmMThhIiwicHJvcGVydGllcyI6eyJub3RlSW5kZXgiOjB9LCJpc0VkaXRlZCI6ZmFsc2UsIm1hbnVhbE92ZXJyaWRlIjp7ImlzTWFudWFsbHlPdmVycmlkZGVuIjp0cnVlLCJjaXRlcHJvY1RleHQiOiIoWmhhbmcgZXQgYWwuLCAyMDIyKSIsIm1hbnVhbE92ZXJyaWRlVGV4dCI6IihDcmVzd2VsbCAmIENyZXN3ZWxsLCAyMDIwOyBOdWdyb2hvIGV0IGFsLi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206185425"/>
          <w:placeholder>
            <w:docPart w:val="AC6A3D19C7324CEC9519AB9ACDBA1F68"/>
          </w:placeholder>
        </w:sdtPr>
        <w:sdtEndPr/>
        <w:sdtContent>
          <w:r w:rsidR="00D16177" w:rsidRPr="00D16177">
            <w:rPr>
              <w:rFonts w:eastAsia="Times New Roman"/>
              <w:color w:val="000000"/>
            </w:rPr>
            <w:t>(Creswell &amp; Creswell, 2020; Nugroho et al., 2021)</w:t>
          </w:r>
        </w:sdtContent>
      </w:sdt>
      <w:r>
        <w:rPr>
          <w:rStyle w:val="FootnoteReference"/>
          <w:rFonts w:ascii="Cambria" w:eastAsia="Cambria" w:hAnsi="Cambria" w:cs="Cambria"/>
        </w:rPr>
        <w:footnoteReference w:id="5"/>
      </w:r>
      <w:r w:rsidRPr="0024611D">
        <w:rPr>
          <w:rFonts w:ascii="Cambria" w:eastAsia="Cambria" w:hAnsi="Cambria" w:cs="Cambria"/>
        </w:rPr>
        <w:t>.</w:t>
      </w:r>
    </w:p>
    <w:p w14:paraId="539DBCFF" w14:textId="66611BC1" w:rsidR="0024611D" w:rsidRPr="0024611D" w:rsidRDefault="0024611D" w:rsidP="0024611D">
      <w:pPr>
        <w:spacing w:after="120" w:line="240" w:lineRule="auto"/>
        <w:jc w:val="both"/>
        <w:rPr>
          <w:rFonts w:ascii="Cambria" w:eastAsia="Cambria" w:hAnsi="Cambria" w:cs="Cambria"/>
        </w:rPr>
      </w:pPr>
      <w:r w:rsidRPr="0024611D">
        <w:rPr>
          <w:rFonts w:ascii="Cambria" w:eastAsia="Cambria" w:hAnsi="Cambria" w:cs="Cambria"/>
        </w:rPr>
        <w:lastRenderedPageBreak/>
        <w:t xml:space="preserve">Data are drawn from the Indonesia Stock Exchange (IDX), complemented with Bloomberg and Yahoo Finance, covering 2018–2023 to capture market dynamics during economic shocks such as the COVID-19 pandemic </w:t>
      </w:r>
      <w:sdt>
        <w:sdtPr>
          <w:rPr>
            <w:rFonts w:ascii="Cambria" w:eastAsia="Cambria" w:hAnsi="Cambria" w:cs="Cambria"/>
            <w:color w:val="000000"/>
          </w:rPr>
          <w:tag w:val="MENDELEY_CITATION_v3_eyJjaXRhdGlvbklEIjoiTUVOREVMRVlfQ0lUQVRJT05fN2E5OTg1MzUtMDU5MS00Mzc3LWJkYzctMDRiZGM3YTZjZTg2IiwicHJvcGVydGllcyI6eyJub3RlSW5kZXgiOjB9LCJpc0VkaXRlZCI6ZmFsc2UsIm1hbnVhbE92ZXJyaWRlIjp7ImlzTWFudWFsbHlPdmVycmlkZGVuIjp0cnVlLCJjaXRlcHJvY1RleHQiOiIoWmhhbmcgZXQgYWwuLCAyMDIyKSIsIm1hbnVhbE92ZXJyaWRlVGV4dCI6IihIYWxpbSAmIFNldGlhd2FuLCAyMDIz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
          <w:id w:val="1905097433"/>
          <w:placeholder>
            <w:docPart w:val="5F040E9C2644494E827E0112D01FC8D4"/>
          </w:placeholder>
        </w:sdtPr>
        <w:sdtEndPr/>
        <w:sdtContent>
          <w:r w:rsidR="00D16177" w:rsidRPr="00D16177">
            <w:rPr>
              <w:rFonts w:eastAsia="Times New Roman"/>
              <w:color w:val="000000"/>
            </w:rPr>
            <w:t>(Halim &amp; Setiawan, 2023)</w:t>
          </w:r>
        </w:sdtContent>
      </w:sdt>
      <w:r>
        <w:rPr>
          <w:rStyle w:val="FootnoteReference"/>
          <w:rFonts w:ascii="Cambria" w:eastAsia="Cambria" w:hAnsi="Cambria" w:cs="Cambria"/>
        </w:rPr>
        <w:footnoteReference w:id="6"/>
      </w:r>
      <w:r w:rsidRPr="0024611D">
        <w:rPr>
          <w:rFonts w:ascii="Cambria" w:eastAsia="Cambria" w:hAnsi="Cambria" w:cs="Cambria"/>
        </w:rPr>
        <w:t xml:space="preserve">. The sample consists of LQ45 stocks, representing the most liquid securities in the market </w:t>
      </w:r>
      <w:sdt>
        <w:sdtPr>
          <w:rPr>
            <w:rFonts w:ascii="Cambria" w:eastAsia="Cambria" w:hAnsi="Cambria" w:cs="Cambria"/>
            <w:color w:val="000000"/>
          </w:rPr>
          <w:tag w:val="MENDELEY_CITATION_v3_eyJjaXRhdGlvbklEIjoiTUVOREVMRVlfQ0lUQVRJT05fODBhODNmZmQtNDdkNC00MDI0LWFhNDAtMDVhOGRhMmM4MzcyIiwicHJvcGVydGllcyI6eyJub3RlSW5kZXgiOjB9LCJpc0VkaXRlZCI6ZmFsc2UsIm1hbnVhbE92ZXJyaWRlIjp7ImlzTWFudWFsbHlPdmVycmlkZGVuIjp0cnVlLCJjaXRlcHJvY1RleHQiOiIoWmhhbmcgZXQgYWwuLCAyMDIyKSIsIm1hbnVhbE92ZXJyaWRlVGV4dCI6IihQcmFib3dvICYgWXVsaWFudG8sIDIwMjE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
          <w:id w:val="-2007977335"/>
          <w:placeholder>
            <w:docPart w:val="9886CA74666148FA9CC63B941AFC21A3"/>
          </w:placeholder>
        </w:sdtPr>
        <w:sdtEndPr/>
        <w:sdtContent>
          <w:r w:rsidR="00D16177" w:rsidRPr="00D16177">
            <w:rPr>
              <w:rFonts w:eastAsia="Times New Roman"/>
              <w:color w:val="000000"/>
            </w:rPr>
            <w:t>(Prabowo &amp; Yulianto, 2021)</w:t>
          </w:r>
        </w:sdtContent>
      </w:sdt>
      <w:r>
        <w:rPr>
          <w:rStyle w:val="FootnoteReference"/>
          <w:rFonts w:ascii="Cambria" w:eastAsia="Cambria" w:hAnsi="Cambria" w:cs="Cambria"/>
        </w:rPr>
        <w:footnoteReference w:id="7"/>
      </w:r>
      <w:r w:rsidRPr="0024611D">
        <w:rPr>
          <w:rFonts w:ascii="Cambria" w:eastAsia="Cambria" w:hAnsi="Cambria" w:cs="Cambria"/>
        </w:rPr>
        <w:t>.</w:t>
      </w:r>
    </w:p>
    <w:p w14:paraId="00763EE9" w14:textId="79D81287" w:rsidR="0024611D" w:rsidRDefault="0024611D" w:rsidP="0024611D">
      <w:pPr>
        <w:spacing w:after="120" w:line="240" w:lineRule="auto"/>
        <w:jc w:val="both"/>
        <w:rPr>
          <w:rFonts w:ascii="Cambria" w:eastAsia="Cambria" w:hAnsi="Cambria" w:cs="Cambria"/>
        </w:rPr>
      </w:pPr>
      <w:r w:rsidRPr="0024611D">
        <w:rPr>
          <w:rFonts w:ascii="Cambria" w:eastAsia="Cambria" w:hAnsi="Cambria" w:cs="Cambria"/>
        </w:rPr>
        <w:t>Trading volume is measured in absolute and average daily terms, while volatility is proxied by the standard deviation of daily returns</w:t>
      </w:r>
      <w:r w:rsidR="00AD6CF1">
        <w:rPr>
          <w:rFonts w:ascii="Cambria" w:eastAsia="Cambria" w:hAnsi="Cambria" w:cs="Cambria"/>
        </w:rPr>
        <w:t xml:space="preserve"> </w:t>
      </w:r>
      <w:sdt>
        <w:sdtPr>
          <w:rPr>
            <w:rFonts w:ascii="Cambria" w:eastAsia="Cambria" w:hAnsi="Cambria" w:cs="Cambria"/>
            <w:color w:val="000000"/>
          </w:rPr>
          <w:tag w:val="MENDELEY_CITATION_v3_eyJjaXRhdGlvbklEIjoiTUVOREVMRVlfQ0lUQVRJT05fNDYzNWI1OGYtYjg0Zi00YWJlLWIxYzUtZmMyMzYwZmY4ZDM1IiwicHJvcGVydGllcyI6eyJub3RlSW5kZXgiOjB9LCJpc0VkaXRlZCI6ZmFsc2UsIm1hbnVhbE92ZXJyaWRlIjp7ImlzTWFudWFsbHlPdmVycmlkZGVuIjp0cnVlLCJjaXRlcHJvY1RleHQiOiIoWmhhbmcgZXQgYWwuLCAyMDIyKSIsIm1hbnVhbE92ZXJyaWRlVGV4dCI6IihSaXphbCAmIFNldGlhd2FuLCAyMDIyOyBXYW5nICYgQ2hlbi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605168151"/>
          <w:placeholder>
            <w:docPart w:val="19C50AA372164586A392C3077670F07A"/>
          </w:placeholder>
        </w:sdtPr>
        <w:sdtEndPr/>
        <w:sdtContent>
          <w:r w:rsidR="00D16177" w:rsidRPr="00D16177">
            <w:rPr>
              <w:rFonts w:eastAsia="Times New Roman"/>
              <w:color w:val="000000"/>
            </w:rPr>
            <w:t>(Rizal &amp; Setiawan, 2022; Wang &amp; Chen, 2021)</w:t>
          </w:r>
        </w:sdtContent>
      </w:sdt>
      <w:r>
        <w:rPr>
          <w:rStyle w:val="FootnoteReference"/>
          <w:rFonts w:ascii="Cambria" w:eastAsia="Cambria" w:hAnsi="Cambria" w:cs="Cambria"/>
        </w:rPr>
        <w:footnoteReference w:id="8"/>
      </w:r>
      <w:r w:rsidRPr="0024611D">
        <w:rPr>
          <w:rFonts w:ascii="Cambria" w:eastAsia="Cambria" w:hAnsi="Cambria" w:cs="Cambria"/>
        </w:rPr>
        <w:t>. Control variables include market capitalization, sector, interest rates, and inflation to ensure robust estimation.</w:t>
      </w:r>
    </w:p>
    <w:p w14:paraId="7F14F91A" w14:textId="7CEABDEC" w:rsidR="0024611D" w:rsidRDefault="0024611D" w:rsidP="0024611D">
      <w:pPr>
        <w:spacing w:after="120" w:line="240" w:lineRule="auto"/>
        <w:jc w:val="both"/>
        <w:rPr>
          <w:rFonts w:ascii="Cambria" w:eastAsia="Cambria" w:hAnsi="Cambria" w:cs="Cambria"/>
        </w:rPr>
      </w:pPr>
      <w:r w:rsidRPr="0024611D">
        <w:rPr>
          <w:rFonts w:ascii="Cambria" w:eastAsia="Cambria" w:hAnsi="Cambria" w:cs="Cambria"/>
        </w:rPr>
        <w:t xml:space="preserve">Analysis employs regression and correlation models to assess both causality and association, processed with SPSS and R, which are widely recognized for large-scale financial data analysis </w:t>
      </w:r>
      <w:sdt>
        <w:sdtPr>
          <w:rPr>
            <w:rFonts w:ascii="Cambria" w:eastAsia="Cambria" w:hAnsi="Cambria" w:cs="Cambria"/>
            <w:color w:val="000000"/>
          </w:rPr>
          <w:tag w:val="MENDELEY_CITATION_v3_eyJjaXRhdGlvbklEIjoiTUVOREVMRVlfQ0lUQVRJT05fZmI5M2NkMDctYmI4Yy00MTI3LThkZjctMjUxNmMyZGI0NGU0IiwicHJvcGVydGllcyI6eyJub3RlSW5kZXgiOjB9LCJpc0VkaXRlZCI6ZmFsc2UsIm1hbnVhbE92ZXJyaWRlIjp7ImlzTWFudWFsbHlPdmVycmlkZGVuIjp0cnVlLCJjaXRlcHJvY1RleHQiOiIoWmhhbmcgZXQgYWwuLCAyMDIyKSIsIm1hbnVhbE92ZXJyaWRlVGV4dCI6IihTYXJpICYgTnVncm9oby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2066084992"/>
          <w:placeholder>
            <w:docPart w:val="8288D8B9B9B647DDBE1F8D88C9C80309"/>
          </w:placeholder>
        </w:sdtPr>
        <w:sdtEndPr/>
        <w:sdtContent>
          <w:r w:rsidR="00D16177" w:rsidRPr="00D16177">
            <w:rPr>
              <w:rFonts w:eastAsia="Times New Roman"/>
              <w:color w:val="000000"/>
            </w:rPr>
            <w:t>(Sari &amp; Nugroho, 2021)</w:t>
          </w:r>
        </w:sdtContent>
      </w:sdt>
      <w:r>
        <w:rPr>
          <w:rStyle w:val="FootnoteReference"/>
          <w:rFonts w:ascii="Cambria" w:eastAsia="Cambria" w:hAnsi="Cambria" w:cs="Cambria"/>
        </w:rPr>
        <w:footnoteReference w:id="9"/>
      </w:r>
      <w:r w:rsidRPr="0024611D">
        <w:rPr>
          <w:rFonts w:ascii="Cambria" w:eastAsia="Cambria" w:hAnsi="Cambria" w:cs="Cambria"/>
        </w:rPr>
        <w:t>. This approach ensures reliable findings for investors and policymakers seeking to understand volatility drivers in emerging markets.</w:t>
      </w:r>
      <w:r>
        <w:rPr>
          <w:rFonts w:ascii="Cambria" w:eastAsia="Cambria" w:hAnsi="Cambria" w:cs="Cambria"/>
        </w:rPr>
        <w:t>.</w:t>
      </w:r>
    </w:p>
    <w:p w14:paraId="313D8102" w14:textId="14ACB75B" w:rsidR="0024611D" w:rsidRDefault="00FA2BF0" w:rsidP="0024611D">
      <w:pPr>
        <w:spacing w:after="0" w:line="240" w:lineRule="auto"/>
        <w:jc w:val="both"/>
        <w:rPr>
          <w:rFonts w:ascii="Cambria" w:eastAsia="Cambria" w:hAnsi="Cambria" w:cs="Cambria"/>
        </w:rPr>
      </w:pPr>
      <w:r>
        <w:rPr>
          <w:rFonts w:ascii="Cambria" w:eastAsia="Cambria" w:hAnsi="Cambria" w:cs="Cambria"/>
          <w:b/>
        </w:rPr>
        <w:t>Results And Discussions</w:t>
      </w:r>
    </w:p>
    <w:p w14:paraId="1830F13E" w14:textId="6B6762E5" w:rsidR="00FA2BF0" w:rsidRPr="00FA2BF0" w:rsidRDefault="00FA2BF0" w:rsidP="00FA2BF0">
      <w:pPr>
        <w:spacing w:after="120" w:line="240" w:lineRule="auto"/>
        <w:jc w:val="both"/>
        <w:rPr>
          <w:rFonts w:ascii="Cambria" w:eastAsia="Cambria" w:hAnsi="Cambria" w:cs="Cambria"/>
        </w:rPr>
      </w:pPr>
      <w:r w:rsidRPr="00FA2BF0">
        <w:rPr>
          <w:rFonts w:ascii="Cambria" w:eastAsia="Cambria" w:hAnsi="Cambria" w:cs="Cambria"/>
        </w:rPr>
        <w:t xml:space="preserve">This study analyzes daily trading volumes and stock price data from the Indonesian Capital Market covering January 2021 to December 2022. The dataset consists of 100 companies across various sectors listed on the Indonesia Stock Exchange (IDX), ensuring comprehensive market coverage. Preliminary analysis reveals that the average daily trading volume reached approximately 1.5 million shares, with substantial sectoral variation, reflecting the diverse nature of trading activities </w:t>
      </w:r>
      <w:sdt>
        <w:sdtPr>
          <w:rPr>
            <w:rFonts w:ascii="Cambria" w:eastAsia="Cambria" w:hAnsi="Cambria" w:cs="Cambria"/>
            <w:color w:val="000000"/>
          </w:rPr>
          <w:tag w:val="MENDELEY_CITATION_v3_eyJjaXRhdGlvbklEIjoiTUVOREVMRVlfQ0lUQVRJT05fODhmMWM2ZjQtOTFjOC00Nzg5LTllMTctZDBiMjcyN2U2N2U4IiwicHJvcGVydGllcyI6eyJub3RlSW5kZXgiOjB9LCJpc0VkaXRlZCI6ZmFsc2UsIm1hbnVhbE92ZXJyaWRlIjp7ImlzTWFudWFsbHlPdmVycmlkZGVuIjp0cnVlLCJjaXRlcHJvY1RleHQiOiIoWmhhbmcgZXQgYWwuLCAyMDIyKSIsIm1hbnVhbE92ZXJyaWRlVGV4dCI6IihJRFgsIDIwMjM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
          <w:id w:val="348078389"/>
          <w:placeholder>
            <w:docPart w:val="A6353FB9510140E18627929789D802FF"/>
          </w:placeholder>
        </w:sdtPr>
        <w:sdtEndPr/>
        <w:sdtContent>
          <w:r w:rsidR="00D16177" w:rsidRPr="00D16177">
            <w:rPr>
              <w:rFonts w:ascii="Cambria" w:eastAsia="Cambria" w:hAnsi="Cambria" w:cs="Cambria"/>
              <w:color w:val="000000"/>
            </w:rPr>
            <w:t>(IDX, 2023)</w:t>
          </w:r>
        </w:sdtContent>
      </w:sdt>
      <w:r>
        <w:rPr>
          <w:rStyle w:val="FootnoteReference"/>
          <w:rFonts w:ascii="Cambria" w:eastAsia="Cambria" w:hAnsi="Cambria" w:cs="Cambria"/>
        </w:rPr>
        <w:footnoteReference w:id="10"/>
      </w:r>
      <w:r w:rsidRPr="00FA2BF0">
        <w:rPr>
          <w:rFonts w:ascii="Cambria" w:eastAsia="Cambria" w:hAnsi="Cambria" w:cs="Cambria"/>
        </w:rPr>
        <w:t>.</w:t>
      </w:r>
    </w:p>
    <w:p w14:paraId="50B88F3C" w14:textId="1FE88745" w:rsidR="00FA2BF0" w:rsidRDefault="00FA2BF0" w:rsidP="00FA2BF0">
      <w:pPr>
        <w:spacing w:after="120" w:line="240" w:lineRule="auto"/>
        <w:jc w:val="both"/>
        <w:rPr>
          <w:rFonts w:ascii="Cambria" w:eastAsia="Cambria" w:hAnsi="Cambria" w:cs="Cambria"/>
        </w:rPr>
      </w:pPr>
      <w:r w:rsidRPr="00FA2BF0">
        <w:rPr>
          <w:rFonts w:ascii="Cambria" w:eastAsia="Cambria" w:hAnsi="Cambria" w:cs="Cambria"/>
        </w:rPr>
        <w:t xml:space="preserve">Trading activity demonstrated a marked increase during periods of economic uncertainty. For example, volumes surged by 30% in March 2021 amid post-pandemic volatility. Stock price fluctuations, measured by the standard deviation of daily returns, followed similar patterns, peaking during national elections and global economic shocks. The average volatility during the observation period was 2.5%, relatively high compared to historical averages </w:t>
      </w:r>
      <w:sdt>
        <w:sdtPr>
          <w:rPr>
            <w:rFonts w:ascii="Cambria" w:eastAsia="Cambria" w:hAnsi="Cambria" w:cs="Cambria"/>
            <w:color w:val="000000"/>
          </w:rPr>
          <w:tag w:val="MENDELEY_CITATION_v3_eyJjaXRhdGlvbklEIjoiTUVOREVMRVlfQ0lUQVRJT05fZDBiYTBmNDktY2FkNi00OGNjLTgxYzctOGI1YWJjN2I1OTY4IiwicHJvcGVydGllcyI6eyJub3RlSW5kZXgiOjB9LCJpc0VkaXRlZCI6ZmFsc2UsIm1hbnVhbE92ZXJyaWRlIjp7ImlzTWFudWFsbHlPdmVycmlkZGVuIjp0cnVlLCJjaXRlcHJvY1RleHQiOiIoWmhhbmcgZXQgYWwuLCAyMDIyKSIsIm1hbnVhbE92ZXJyaWRlVGV4dCI6IihTdWhhcnRvbm8gZXQgYWwuLCAyMDIx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
          <w:id w:val="-1838452808"/>
          <w:placeholder>
            <w:docPart w:val="1284A0AB7E874886B95187141C944848"/>
          </w:placeholder>
        </w:sdtPr>
        <w:sdtEndPr/>
        <w:sdtContent>
          <w:r w:rsidR="00D16177" w:rsidRPr="00D16177">
            <w:rPr>
              <w:rFonts w:ascii="Cambria" w:eastAsia="Cambria" w:hAnsi="Cambria" w:cs="Cambria"/>
              <w:color w:val="000000"/>
            </w:rPr>
            <w:t>(Suhartono et al., 2021)</w:t>
          </w:r>
        </w:sdtContent>
      </w:sdt>
      <w:r>
        <w:rPr>
          <w:rStyle w:val="FootnoteReference"/>
          <w:rFonts w:ascii="Cambria" w:eastAsia="Cambria" w:hAnsi="Cambria" w:cs="Cambria"/>
        </w:rPr>
        <w:footnoteReference w:id="11"/>
      </w:r>
      <w:r w:rsidRPr="00FA2BF0">
        <w:rPr>
          <w:rFonts w:ascii="Cambria" w:eastAsia="Cambria" w:hAnsi="Cambria" w:cs="Cambria"/>
        </w:rPr>
        <w:t>.</w:t>
      </w:r>
    </w:p>
    <w:p w14:paraId="396235E7" w14:textId="489560EF" w:rsidR="00FA2BF0" w:rsidRPr="00FA2BF0" w:rsidRDefault="00FA2BF0" w:rsidP="00FA2BF0">
      <w:pPr>
        <w:spacing w:after="120" w:line="240" w:lineRule="auto"/>
        <w:jc w:val="both"/>
        <w:rPr>
          <w:rFonts w:ascii="Cambria" w:eastAsia="Cambria" w:hAnsi="Cambria" w:cs="Cambria"/>
        </w:rPr>
      </w:pPr>
      <w:r w:rsidRPr="00FA2BF0">
        <w:rPr>
          <w:rFonts w:ascii="Cambria" w:eastAsia="Cambria" w:hAnsi="Cambria" w:cs="Cambria"/>
        </w:rPr>
        <w:t xml:space="preserve">Correlation analysis using Pearson’s coefficient indicates a strong positive association (r = 0.65) between trading volume and volatility. This supports the argument that increased trading activity often amplifies price movements, particularly in emerging markets where sentiment-driven behavior is dominant </w:t>
      </w:r>
      <w:sdt>
        <w:sdtPr>
          <w:rPr>
            <w:rFonts w:ascii="Cambria" w:eastAsia="Cambria" w:hAnsi="Cambria" w:cs="Cambria"/>
            <w:color w:val="000000"/>
          </w:rPr>
          <w:tag w:val="MENDELEY_CITATION_v3_eyJjaXRhdGlvbklEIjoiTUVOREVMRVlfQ0lUQVRJT05fMDMwNTg3ODEtZGU2NC00ZjNhLTg1NTMtYzRkMjBmNGUxM2FiIiwicHJvcGVydGllcyI6eyJub3RlSW5kZXgiOjB9LCJpc0VkaXRlZCI6ZmFsc2UsIm1hbnVhbE92ZXJyaWRlIjp7ImlzTWFudWFsbHlPdmVycmlkZGVuIjp0cnVlLCJjaXRlcHJvY1RleHQiOiIoWmhhbmcgZXQgYWwuLCAyMDIyKSIsIm1hbnVhbE92ZXJyaWRlVGV4dCI6IihIYWxpbSAmIFJhaG1hbi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1108461202"/>
          <w:placeholder>
            <w:docPart w:val="CE1E954C2D5C427F91D142A4802C0252"/>
          </w:placeholder>
        </w:sdtPr>
        <w:sdtEndPr/>
        <w:sdtContent>
          <w:r w:rsidR="00D16177" w:rsidRPr="00D16177">
            <w:rPr>
              <w:rFonts w:eastAsia="Times New Roman"/>
              <w:color w:val="000000"/>
            </w:rPr>
            <w:t>(Halim &amp; Rahman, 2022)</w:t>
          </w:r>
        </w:sdtContent>
      </w:sdt>
      <w:r>
        <w:rPr>
          <w:rStyle w:val="FootnoteReference"/>
          <w:rFonts w:ascii="Cambria" w:eastAsia="Cambria" w:hAnsi="Cambria" w:cs="Cambria"/>
        </w:rPr>
        <w:footnoteReference w:id="12"/>
      </w:r>
      <w:r w:rsidRPr="00FA2BF0">
        <w:rPr>
          <w:rFonts w:ascii="Cambria" w:eastAsia="Cambria" w:hAnsi="Cambria" w:cs="Cambria"/>
        </w:rPr>
        <w:t xml:space="preserve">. Sectoral results reveal heterogeneity: the technology sector exhibits a strong correlation (r = 0.72), while consumer goods display a moderate association (r = 0.55), suggesting that trading volume influences vary across industries </w:t>
      </w:r>
      <w:sdt>
        <w:sdtPr>
          <w:rPr>
            <w:rFonts w:ascii="Cambria" w:eastAsia="Cambria" w:hAnsi="Cambria" w:cs="Cambria"/>
            <w:color w:val="000000"/>
          </w:rPr>
          <w:tag w:val="MENDELEY_CITATION_v3_eyJjaXRhdGlvbklEIjoiTUVOREVMRVlfQ0lUQVRJT05fY2I3OWE1ODUtNzUyMS00NzVhLWFjYjQtYTU3ZmYzZWI3N2ZlIiwicHJvcGVydGllcyI6eyJub3RlSW5kZXgiOjB9LCJpc0VkaXRlZCI6ZmFsc2UsIm1hbnVhbE92ZXJyaWRlIjp7ImlzTWFudWFsbHlPdmVycmlkZGVuIjp0cnVlLCJjaXRlcHJvY1RleHQiOiIoWmhhbmcgZXQgYWwuLCAyMDIyKSIsIm1hbnVhbE92ZXJyaWRlVGV4dCI6IihTYXJpICYgV2lkeWFzdHV0aS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963198028"/>
          <w:placeholder>
            <w:docPart w:val="D5C76166DB394A65BE12732615EB0542"/>
          </w:placeholder>
        </w:sdtPr>
        <w:sdtEndPr/>
        <w:sdtContent>
          <w:r w:rsidR="00D16177" w:rsidRPr="00D16177">
            <w:rPr>
              <w:rFonts w:eastAsia="Times New Roman"/>
              <w:color w:val="000000"/>
            </w:rPr>
            <w:t>(Sari &amp; Widyastuti, 2022)</w:t>
          </w:r>
        </w:sdtContent>
      </w:sdt>
      <w:r>
        <w:rPr>
          <w:rStyle w:val="FootnoteReference"/>
          <w:rFonts w:ascii="Cambria" w:eastAsia="Cambria" w:hAnsi="Cambria" w:cs="Cambria"/>
        </w:rPr>
        <w:footnoteReference w:id="13"/>
      </w:r>
      <w:r w:rsidRPr="00FA2BF0">
        <w:rPr>
          <w:rFonts w:ascii="Cambria" w:eastAsia="Cambria" w:hAnsi="Cambria" w:cs="Cambria"/>
        </w:rPr>
        <w:t>.</w:t>
      </w:r>
    </w:p>
    <w:p w14:paraId="3D08D63D" w14:textId="39308825" w:rsidR="00FA2BF0" w:rsidRDefault="00FA2BF0" w:rsidP="00FA2BF0">
      <w:pPr>
        <w:spacing w:after="120" w:line="240" w:lineRule="auto"/>
        <w:jc w:val="both"/>
        <w:rPr>
          <w:rFonts w:ascii="Cambria" w:eastAsia="Cambria" w:hAnsi="Cambria" w:cs="Cambria"/>
        </w:rPr>
      </w:pPr>
      <w:r w:rsidRPr="00FA2BF0">
        <w:rPr>
          <w:rFonts w:ascii="Cambria" w:eastAsia="Cambria" w:hAnsi="Cambria" w:cs="Cambria"/>
        </w:rPr>
        <w:t xml:space="preserve">To further validate these findings, multiple regression analysis was conducted with trading volume, market capitalization, and sector classification as independent variables. Results confirm a statistically significant effect of trading volume (p &lt; 0.01), where a 1% increase in trading volume corresponds to a 0.5% rise in volatility. Conversely, market capitalization exhibited a </w:t>
      </w:r>
      <w:r w:rsidRPr="00FA2BF0">
        <w:rPr>
          <w:rFonts w:ascii="Cambria" w:eastAsia="Cambria" w:hAnsi="Cambria" w:cs="Cambria"/>
        </w:rPr>
        <w:lastRenderedPageBreak/>
        <w:t xml:space="preserve">negative coefficient, indicating that larger firms tend to experience lower volatility due to stronger investor confidence and established market positions </w:t>
      </w:r>
      <w:sdt>
        <w:sdtPr>
          <w:rPr>
            <w:rFonts w:ascii="Cambria" w:eastAsia="Cambria" w:hAnsi="Cambria" w:cs="Cambria"/>
            <w:color w:val="000000"/>
          </w:rPr>
          <w:tag w:val="MENDELEY_CITATION_v3_eyJjaXRhdGlvbklEIjoiTUVOREVMRVlfQ0lUQVRJT05fYTc5ZmMyODgtYWM4ZC00NjcxLWI2NzAtYWQ4YjA2MGJjMDg4IiwicHJvcGVydGllcyI6eyJub3RlSW5kZXgiOjB9LCJpc0VkaXRlZCI6ZmFsc2UsIm1hbnVhbE92ZXJyaWRlIjp7ImlzTWFudWFsbHlPdmVycmlkZGVuIjp0cnVlLCJjaXRlcHJvY1RleHQiOiIoWmhhbmcgZXQgYWwuLCAyMDIyKSIsIm1hbnVhbE92ZXJyaWRlVGV4dCI6IihOdWdyb2hvICYgU2FudG9zbywgMjAyMTsgUHJhc2V0eW8gZXQgYWwuLCAyMDIz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
          <w:id w:val="-652913678"/>
          <w:placeholder>
            <w:docPart w:val="D215C116CC894AD293351554088697AA"/>
          </w:placeholder>
        </w:sdtPr>
        <w:sdtEndPr/>
        <w:sdtContent>
          <w:r w:rsidR="00D16177" w:rsidRPr="00D16177">
            <w:rPr>
              <w:rFonts w:eastAsia="Times New Roman"/>
              <w:color w:val="000000"/>
            </w:rPr>
            <w:t>(Nugroho &amp; Santoso, 2021; Prasetyo et al., 2023)</w:t>
          </w:r>
        </w:sdtContent>
      </w:sdt>
      <w:r>
        <w:rPr>
          <w:rStyle w:val="FootnoteReference"/>
          <w:rFonts w:ascii="Cambria" w:eastAsia="Cambria" w:hAnsi="Cambria" w:cs="Cambria"/>
        </w:rPr>
        <w:footnoteReference w:id="14"/>
      </w:r>
      <w:r w:rsidRPr="00FA2BF0">
        <w:rPr>
          <w:rFonts w:ascii="Cambria" w:eastAsia="Cambria" w:hAnsi="Cambria" w:cs="Cambria"/>
        </w:rPr>
        <w:t>.</w:t>
      </w:r>
    </w:p>
    <w:p w14:paraId="6A28B98A" w14:textId="10045C5B" w:rsidR="00FA2BF0" w:rsidRDefault="00FA2BF0" w:rsidP="00FA2BF0">
      <w:pPr>
        <w:spacing w:after="120" w:line="240" w:lineRule="auto"/>
        <w:jc w:val="both"/>
        <w:rPr>
          <w:rFonts w:ascii="Cambria" w:eastAsia="Cambria" w:hAnsi="Cambria" w:cs="Cambria"/>
        </w:rPr>
      </w:pPr>
      <w:r w:rsidRPr="00FA2BF0">
        <w:rPr>
          <w:rFonts w:ascii="Cambria" w:eastAsia="Cambria" w:hAnsi="Cambria" w:cs="Cambria"/>
        </w:rPr>
        <w:t xml:space="preserve">Additional analysis incorporating control variables such as consumer confidence and global commodity price fluctuations enriches the interpretation. The Consumer Confidence Index (CCI) was positively correlated with volatility, implying that heightened optimism may accelerate speculative trading. In contrast, external shocks such as declining commodity prices dampened trading volumes, emphasizing the role of macroeconomic stability in shaping investor behavior </w:t>
      </w:r>
      <w:sdt>
        <w:sdtPr>
          <w:rPr>
            <w:rFonts w:ascii="Cambria" w:eastAsia="Cambria" w:hAnsi="Cambria" w:cs="Cambria"/>
            <w:color w:val="000000"/>
          </w:rPr>
          <w:tag w:val="MENDELEY_CITATION_v3_eyJjaXRhdGlvbklEIjoiTUVOREVMRVlfQ0lUQVRJT05fNWZlMzRlYmMtODE4Zi00NDVkLTk3OTktNWIzNjVmODc0NDRhIiwicHJvcGVydGllcyI6eyJub3RlSW5kZXgiOjB9LCJpc0VkaXRlZCI6ZmFsc2UsIm1hbnVhbE92ZXJyaWRlIjp7ImlzTWFudWFsbHlPdmVycmlkZGVuIjp0cnVlLCJjaXRlcHJvY1RleHQiOiIoWmhhbmcgZXQgYWwuLCAyMDIyKSIsIm1hbnVhbE92ZXJyaWRlVGV4dCI6IihXaWRpYXN0dXRpICYgUHJhYm93by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1718933881"/>
          <w:placeholder>
            <w:docPart w:val="BAE94BD2AF78472BA657EB4C1DFACF19"/>
          </w:placeholder>
        </w:sdtPr>
        <w:sdtEndPr/>
        <w:sdtContent>
          <w:r w:rsidR="00D16177" w:rsidRPr="00D16177">
            <w:rPr>
              <w:rFonts w:eastAsia="Times New Roman"/>
              <w:color w:val="000000"/>
            </w:rPr>
            <w:t>(</w:t>
          </w:r>
          <w:r w:rsidR="001A1292">
            <w:rPr>
              <w:rFonts w:eastAsia="Times New Roman"/>
              <w:color w:val="000000"/>
            </w:rPr>
            <w:t>Mauliansyah, H.</w:t>
          </w:r>
          <w:r w:rsidR="00D16177" w:rsidRPr="00D16177">
            <w:rPr>
              <w:rFonts w:eastAsia="Times New Roman"/>
              <w:color w:val="000000"/>
            </w:rPr>
            <w:t xml:space="preserve"> 202</w:t>
          </w:r>
          <w:r w:rsidR="001A1292">
            <w:rPr>
              <w:rFonts w:eastAsia="Times New Roman"/>
              <w:color w:val="000000"/>
            </w:rPr>
            <w:t>4</w:t>
          </w:r>
          <w:r w:rsidR="00D16177" w:rsidRPr="00D16177">
            <w:rPr>
              <w:rFonts w:eastAsia="Times New Roman"/>
              <w:color w:val="000000"/>
            </w:rPr>
            <w:t>)</w:t>
          </w:r>
        </w:sdtContent>
      </w:sdt>
      <w:r>
        <w:rPr>
          <w:rStyle w:val="FootnoteReference"/>
          <w:rFonts w:ascii="Cambria" w:eastAsia="Cambria" w:hAnsi="Cambria" w:cs="Cambria"/>
        </w:rPr>
        <w:footnoteReference w:id="15"/>
      </w:r>
      <w:r w:rsidRPr="00FA2BF0">
        <w:rPr>
          <w:rFonts w:ascii="Cambria" w:eastAsia="Cambria" w:hAnsi="Cambria" w:cs="Cambria"/>
        </w:rPr>
        <w:t>.</w:t>
      </w:r>
    </w:p>
    <w:p w14:paraId="220D47E8" w14:textId="505245B4" w:rsidR="00FA2BF0" w:rsidRDefault="00FA2BF0" w:rsidP="00FA2BF0">
      <w:pPr>
        <w:spacing w:after="120" w:line="240" w:lineRule="auto"/>
        <w:jc w:val="both"/>
        <w:rPr>
          <w:rFonts w:ascii="Cambria" w:eastAsia="Cambria" w:hAnsi="Cambria" w:cs="Cambria"/>
        </w:rPr>
      </w:pPr>
      <w:r w:rsidRPr="00FA2BF0">
        <w:rPr>
          <w:rFonts w:ascii="Cambria" w:eastAsia="Cambria" w:hAnsi="Cambria" w:cs="Cambria"/>
        </w:rPr>
        <w:t xml:space="preserve">Unexpected anomalies were also observed. For instance, the healthcare sector exhibited increased volatility despite lower trading volumes, likely due to speculative behavior during the pandemic. This highlights that trading volume alone cannot fully explain volatility; investor sentiment and exogenous events play critical roles in shaping market outcomes </w:t>
      </w:r>
      <w:sdt>
        <w:sdtPr>
          <w:rPr>
            <w:rFonts w:ascii="Cambria" w:eastAsia="Cambria" w:hAnsi="Cambria" w:cs="Cambria"/>
            <w:color w:val="000000"/>
          </w:rPr>
          <w:tag w:val="MENDELEY_CITATION_v3_eyJjaXRhdGlvbklEIjoiTUVOREVMRVlfQ0lUQVRJT05fNzg0OWZkYTEtY2FmOC00ZDJlLTgwMDctYWJmNDcyY2Y4YTdmIiwicHJvcGVydGllcyI6eyJub3RlSW5kZXgiOjB9LCJpc0VkaXRlZCI6ZmFsc2UsIm1hbnVhbE92ZXJyaWRlIjp7ImlzTWFudWFsbHlPdmVycmlkZGVuIjp0cnVlLCJjaXRlcHJvY1RleHQiOiIoWmhhbmcgZXQgYWwuLCAyMDIyKSIsIm1hbnVhbE92ZXJyaWRlVGV4dCI6IihTZXRpYXdhbiAmIExlc3RhcmksIDIwMjE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
          <w:id w:val="-373238007"/>
          <w:placeholder>
            <w:docPart w:val="3FC88BF8F0E0484C93C881B951FBA125"/>
          </w:placeholder>
        </w:sdtPr>
        <w:sdtEndPr/>
        <w:sdtContent>
          <w:r w:rsidR="00D16177" w:rsidRPr="00D16177">
            <w:rPr>
              <w:rFonts w:eastAsia="Times New Roman"/>
              <w:color w:val="000000"/>
            </w:rPr>
            <w:t>(Setiawan &amp; Lestari, 2021)</w:t>
          </w:r>
        </w:sdtContent>
      </w:sdt>
      <w:r>
        <w:rPr>
          <w:rStyle w:val="FootnoteReference"/>
          <w:rFonts w:ascii="Cambria" w:eastAsia="Cambria" w:hAnsi="Cambria" w:cs="Cambria"/>
        </w:rPr>
        <w:footnoteReference w:id="16"/>
      </w:r>
      <w:r w:rsidRPr="00FA2BF0">
        <w:rPr>
          <w:rFonts w:ascii="Cambria" w:eastAsia="Cambria" w:hAnsi="Cambria" w:cs="Cambria"/>
        </w:rPr>
        <w:t>.</w:t>
      </w:r>
    </w:p>
    <w:p w14:paraId="316B367D" w14:textId="4C317372" w:rsidR="0024611D" w:rsidRDefault="00FA2BF0" w:rsidP="00FA2BF0">
      <w:pPr>
        <w:spacing w:after="120" w:line="240" w:lineRule="auto"/>
        <w:jc w:val="both"/>
        <w:rPr>
          <w:rFonts w:ascii="Cambria" w:eastAsia="Cambria" w:hAnsi="Cambria" w:cs="Cambria"/>
        </w:rPr>
      </w:pPr>
      <w:r w:rsidRPr="00FA2BF0">
        <w:rPr>
          <w:rFonts w:ascii="Cambria" w:eastAsia="Cambria" w:hAnsi="Cambria" w:cs="Cambria"/>
        </w:rPr>
        <w:t xml:space="preserve">Collectively, these findings underscore the importance of trading activity as both an indicator and a driver of stock price volatility in Indonesia. Investors and policymakers may benefit from closely monitoring trading volume, as heightened activity often precedes significant price adjustments. The results are consistent with prior studies in other emerging markets </w:t>
      </w:r>
      <w:sdt>
        <w:sdtPr>
          <w:rPr>
            <w:rFonts w:ascii="Cambria" w:eastAsia="Cambria" w:hAnsi="Cambria" w:cs="Cambria"/>
            <w:color w:val="000000"/>
          </w:rPr>
          <w:tag w:val="MENDELEY_CITATION_v3_eyJjaXRhdGlvbklEIjoiTUVOREVMRVlfQ0lUQVRJT05fZTY5YWZmYmQtZjhjOS00ZmY2LThlODMtMjU1ODUzMTA0N2ZjIiwicHJvcGVydGllcyI6eyJub3RlSW5kZXgiOjB9LCJpc0VkaXRlZCI6ZmFsc2UsIm1hbnVhbE92ZXJyaWRlIjp7ImlzTWFudWFsbHlPdmVycmlkZGVuIjp0cnVlLCJjaXRlcHJvY1RleHQiOiIoWmhhbmcgZXQgYWwuLCAyMDIyKSIsIm1hbnVhbE92ZXJyaWRlVGV4dCI6IihDaG9uZyBldCBhbC4sIDIwMjE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
          <w:id w:val="-1593229639"/>
          <w:placeholder>
            <w:docPart w:val="0153F76860B8451C9E319AA11B94E808"/>
          </w:placeholder>
        </w:sdtPr>
        <w:sdtEndPr/>
        <w:sdtContent>
          <w:r w:rsidR="00D16177" w:rsidRPr="00D16177">
            <w:rPr>
              <w:rFonts w:ascii="Cambria" w:eastAsia="Cambria" w:hAnsi="Cambria" w:cs="Cambria"/>
              <w:color w:val="000000"/>
            </w:rPr>
            <w:t>(Chong et al., 2021)</w:t>
          </w:r>
        </w:sdtContent>
      </w:sdt>
      <w:r>
        <w:rPr>
          <w:rStyle w:val="FootnoteReference"/>
          <w:rFonts w:ascii="Cambria" w:eastAsia="Cambria" w:hAnsi="Cambria" w:cs="Cambria"/>
        </w:rPr>
        <w:footnoteReference w:id="17"/>
      </w:r>
      <w:r w:rsidRPr="00FA2BF0">
        <w:rPr>
          <w:rFonts w:ascii="Cambria" w:eastAsia="Cambria" w:hAnsi="Cambria" w:cs="Cambria"/>
        </w:rPr>
        <w:t>, while offering localized insights into the Indonesian market, characterized by sectoral heterogeneity and sensitivity to global shocks.</w:t>
      </w:r>
    </w:p>
    <w:p w14:paraId="22F368DF" w14:textId="7574F278" w:rsidR="00FA2BF0" w:rsidRPr="00651A63" w:rsidRDefault="00FA2BF0" w:rsidP="00651A63">
      <w:pPr>
        <w:spacing w:after="0"/>
        <w:jc w:val="both"/>
        <w:rPr>
          <w:rFonts w:ascii="Cambria" w:eastAsia="Cambria" w:hAnsi="Cambria" w:cs="Cambria"/>
          <w:b/>
          <w:bCs/>
        </w:rPr>
      </w:pPr>
      <w:r w:rsidRPr="00FA2BF0">
        <w:rPr>
          <w:rFonts w:ascii="Cambria" w:eastAsia="Cambria" w:hAnsi="Cambria" w:cs="Cambria"/>
          <w:b/>
          <w:bCs/>
        </w:rPr>
        <w:t>Conclusion</w:t>
      </w:r>
    </w:p>
    <w:p w14:paraId="70139839" w14:textId="0BA38A2C" w:rsidR="00651A63" w:rsidRDefault="00FA2BF0" w:rsidP="00651A63">
      <w:pPr>
        <w:spacing w:after="120"/>
        <w:jc w:val="both"/>
        <w:rPr>
          <w:rFonts w:ascii="Cambria" w:eastAsia="Cambria" w:hAnsi="Cambria" w:cs="Cambria"/>
        </w:rPr>
      </w:pPr>
      <w:r w:rsidRPr="00FA2BF0">
        <w:rPr>
          <w:rFonts w:ascii="Cambria" w:eastAsia="Cambria" w:hAnsi="Cambria" w:cs="Cambria"/>
        </w:rPr>
        <w:t xml:space="preserve">This study provides evidence of a significant relationship between trading volume and stock price volatility in the Indonesian capital market. The findings reveal that heightened trading volume often precedes increased volatility, confirming the role of investor sentiment and information flow in amplifying price fluctuations </w:t>
      </w:r>
      <w:sdt>
        <w:sdtPr>
          <w:rPr>
            <w:rFonts w:ascii="Cambria" w:eastAsia="Cambria" w:hAnsi="Cambria" w:cs="Cambria"/>
            <w:color w:val="000000"/>
          </w:rPr>
          <w:tag w:val="MENDELEY_CITATION_v3_eyJjaXRhdGlvbklEIjoiTUVOREVMRVlfQ0lUQVRJT05fMjY5MGRkYTQtYjIwNi00NjJlLWJlOTAtMTNmNWFkMTkyYzVkIiwicHJvcGVydGllcyI6eyJub3RlSW5kZXgiOjB9LCJpc0VkaXRlZCI6ZmFsc2UsIm1hbnVhbE92ZXJyaWRlIjp7ImlzTWFudWFsbHlPdmVycmlkZGVuIjp0cnVlLCJjaXRlcHJvY1RleHQiOiIoWmhhbmcgZXQgYWwuLCAyMDIyKSIsIm1hbnVhbE92ZXJyaWRlVGV4dCI6IihQcmFib3dvICYgU2FyaS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1306468117"/>
          <w:placeholder>
            <w:docPart w:val="A82F630B91244B838E609E58BCC0291D"/>
          </w:placeholder>
        </w:sdtPr>
        <w:sdtEndPr/>
        <w:sdtContent>
          <w:r w:rsidR="00D16177" w:rsidRPr="00D16177">
            <w:rPr>
              <w:rFonts w:eastAsia="Times New Roman"/>
              <w:color w:val="000000"/>
            </w:rPr>
            <w:t>(Prabowo &amp; Sari, 2021)</w:t>
          </w:r>
        </w:sdtContent>
      </w:sdt>
      <w:r w:rsidR="00651A63">
        <w:rPr>
          <w:rStyle w:val="FootnoteReference"/>
          <w:rFonts w:ascii="Cambria" w:eastAsia="Cambria" w:hAnsi="Cambria" w:cs="Cambria"/>
        </w:rPr>
        <w:footnoteReference w:id="18"/>
      </w:r>
      <w:r w:rsidRPr="00FA2BF0">
        <w:rPr>
          <w:rFonts w:ascii="Cambria" w:eastAsia="Cambria" w:hAnsi="Cambria" w:cs="Cambria"/>
        </w:rPr>
        <w:t>. Data from the Indonesia Stock Exchange (IDX) during the COVID-19 pandemic illustrate this dynamic, as trading volumes surged by 40% while the composite index dropped by 25%, underscoring the strong interaction between market activity and volatility</w:t>
      </w:r>
      <w:r w:rsidR="00AD6CF1">
        <w:rPr>
          <w:rFonts w:ascii="Cambria" w:eastAsia="Cambria" w:hAnsi="Cambria" w:cs="Cambria"/>
        </w:rPr>
        <w:t xml:space="preserve"> </w:t>
      </w:r>
      <w:sdt>
        <w:sdtPr>
          <w:rPr>
            <w:rFonts w:ascii="Cambria" w:eastAsia="Cambria" w:hAnsi="Cambria" w:cs="Cambria"/>
            <w:color w:val="000000"/>
          </w:rPr>
          <w:tag w:val="MENDELEY_CITATION_v3_eyJjaXRhdGlvbklEIjoiTUVOREVMRVlfQ0lUQVRJT05fMTUzYjdlZTAtMDFiYy00YmQxLTg3YjAtNjBhN2UwOTQwMmUwIiwicHJvcGVydGllcyI6eyJub3RlSW5kZXgiOjB9LCJpc0VkaXRlZCI6ZmFsc2UsIm1hbnVhbE92ZXJyaWRlIjp7ImlzTWFudWFsbHlPdmVycmlkZGVuIjp0cnVlLCJjaXRlcHJvY1RleHQiOiIoWmhhbmcgZXQgYWwuLCAyMDIyKSIsIm1hbnVhbE92ZXJyaWRlVGV4dCI6IihPSkssIDIwMjI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
          <w:id w:val="227118875"/>
          <w:placeholder>
            <w:docPart w:val="040D2140060248429BB63AEAB32113BD"/>
          </w:placeholder>
        </w:sdtPr>
        <w:sdtEndPr/>
        <w:sdtContent>
          <w:r w:rsidR="00D16177" w:rsidRPr="00D16177">
            <w:rPr>
              <w:rFonts w:ascii="Cambria" w:eastAsia="Cambria" w:hAnsi="Cambria" w:cs="Cambria"/>
              <w:color w:val="000000"/>
            </w:rPr>
            <w:t>(OJK, 2022)</w:t>
          </w:r>
        </w:sdtContent>
      </w:sdt>
      <w:r w:rsidR="00651A63">
        <w:rPr>
          <w:rStyle w:val="FootnoteReference"/>
          <w:rFonts w:ascii="Cambria" w:eastAsia="Cambria" w:hAnsi="Cambria" w:cs="Cambria"/>
        </w:rPr>
        <w:footnoteReference w:id="19"/>
      </w:r>
      <w:r w:rsidRPr="00FA2BF0">
        <w:rPr>
          <w:rFonts w:ascii="Cambria" w:eastAsia="Cambria" w:hAnsi="Cambria" w:cs="Cambria"/>
        </w:rPr>
        <w:t>.</w:t>
      </w:r>
    </w:p>
    <w:p w14:paraId="0205F07B" w14:textId="489C1513" w:rsidR="00651A63" w:rsidRDefault="00FA2BF0" w:rsidP="00651A63">
      <w:pPr>
        <w:spacing w:after="120"/>
        <w:jc w:val="both"/>
        <w:rPr>
          <w:rFonts w:ascii="Cambria" w:eastAsia="Cambria" w:hAnsi="Cambria" w:cs="Cambria"/>
        </w:rPr>
      </w:pPr>
      <w:r w:rsidRPr="00FA2BF0">
        <w:rPr>
          <w:rFonts w:ascii="Cambria" w:eastAsia="Cambria" w:hAnsi="Cambria" w:cs="Cambria"/>
        </w:rPr>
        <w:t xml:space="preserve">Sectoral analysis further indicates that industries such as technology and consumer goods are more sensitive to trading activity, with significant volume increases translating into notable volatility spikes </w:t>
      </w:r>
      <w:sdt>
        <w:sdtPr>
          <w:rPr>
            <w:rFonts w:ascii="Cambria" w:eastAsia="Cambria" w:hAnsi="Cambria" w:cs="Cambria"/>
            <w:color w:val="000000"/>
          </w:rPr>
          <w:tag w:val="MENDELEY_CITATION_v3_eyJjaXRhdGlvbklEIjoiTUVOREVMRVlfQ0lUQVRJT05fOTRmYThiMGQtYjAzOS00YTQ3LWIzMzctYmNmNjkwZjM4ZDdkIiwicHJvcGVydGllcyI6eyJub3RlSW5kZXgiOjB9LCJpc0VkaXRlZCI6ZmFsc2UsIm1hbnVhbE92ZXJyaWRlIjp7ImlzTWFudWFsbHlPdmVycmlkZGVuIjp0cnVlLCJjaXRlcHJvY1RleHQiOiIoWmhhbmcgZXQgYWwuLCAyMDIyKSIsIm1hbnVhbE92ZXJyaWRlVGV4dCI6IihCdWRpYXJ0by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134384826"/>
          <w:placeholder>
            <w:docPart w:val="EDAB7A865E5449B4BBECCA7C06D37176"/>
          </w:placeholder>
        </w:sdtPr>
        <w:sdtEndPr/>
        <w:sdtContent>
          <w:r w:rsidR="00D16177" w:rsidRPr="00D16177">
            <w:rPr>
              <w:rFonts w:ascii="Cambria" w:eastAsia="Cambria" w:hAnsi="Cambria" w:cs="Cambria"/>
              <w:color w:val="000000"/>
            </w:rPr>
            <w:t>(Budiarto, 2021)</w:t>
          </w:r>
        </w:sdtContent>
      </w:sdt>
      <w:r w:rsidR="00651A63">
        <w:rPr>
          <w:rStyle w:val="FootnoteReference"/>
          <w:rFonts w:ascii="Cambria" w:eastAsia="Cambria" w:hAnsi="Cambria" w:cs="Cambria"/>
        </w:rPr>
        <w:footnoteReference w:id="20"/>
      </w:r>
      <w:r w:rsidRPr="00FA2BF0">
        <w:rPr>
          <w:rFonts w:ascii="Cambria" w:eastAsia="Cambria" w:hAnsi="Cambria" w:cs="Cambria"/>
        </w:rPr>
        <w:t xml:space="preserve">. In contrast, defensive sectors like utilities display more stability, reflecting differences in investor behavior across industries. Moreover, institutional </w:t>
      </w:r>
      <w:r w:rsidRPr="00FA2BF0">
        <w:rPr>
          <w:rFonts w:ascii="Cambria" w:eastAsia="Cambria" w:hAnsi="Cambria" w:cs="Cambria"/>
        </w:rPr>
        <w:lastRenderedPageBreak/>
        <w:t xml:space="preserve">investors play a critical role in shaping this relationship; their large-scale transactions magnify market movements, contributing to volatility during periods of stress </w:t>
      </w:r>
      <w:sdt>
        <w:sdtPr>
          <w:rPr>
            <w:rFonts w:ascii="Cambria" w:eastAsia="Cambria" w:hAnsi="Cambria" w:cs="Cambria"/>
            <w:color w:val="000000"/>
          </w:rPr>
          <w:tag w:val="MENDELEY_CITATION_v3_eyJjaXRhdGlvbklEIjoiTUVOREVMRVlfQ0lUQVRJT05fZjhjZTVjOWYtYTZkZC00YTBmLTg5MzUtZjg0YjExZmZjMDFmIiwicHJvcGVydGllcyI6eyJub3RlSW5kZXgiOjB9LCJpc0VkaXRlZCI6ZmFsc2UsIm1hbnVhbE92ZXJyaWRlIjp7ImlzTWFudWFsbHlPdmVycmlkZGVuIjp0cnVlLCJjaXRlcHJvY1RleHQiOiIoWmhhbmcgZXQgYWwuLCAyMDIyKSIsIm1hbnVhbE92ZXJyaWRlVGV4dCI6IihTYW50b3NvIGV0IGFsLi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24178023"/>
          <w:placeholder>
            <w:docPart w:val="315AD146CF1B4135BFCD81ABF5E2A167"/>
          </w:placeholder>
        </w:sdtPr>
        <w:sdtEndPr/>
        <w:sdtContent>
          <w:r w:rsidR="00D16177" w:rsidRPr="00D16177">
            <w:rPr>
              <w:rFonts w:ascii="Cambria" w:eastAsia="Cambria" w:hAnsi="Cambria" w:cs="Cambria"/>
              <w:color w:val="000000"/>
            </w:rPr>
            <w:t>(Santoso et al., 2022)</w:t>
          </w:r>
        </w:sdtContent>
      </w:sdt>
      <w:r w:rsidR="00651A63">
        <w:rPr>
          <w:rStyle w:val="FootnoteReference"/>
          <w:rFonts w:ascii="Cambria" w:eastAsia="Cambria" w:hAnsi="Cambria" w:cs="Cambria"/>
        </w:rPr>
        <w:footnoteReference w:id="21"/>
      </w:r>
      <w:r w:rsidRPr="00FA2BF0">
        <w:rPr>
          <w:rFonts w:ascii="Cambria" w:eastAsia="Cambria" w:hAnsi="Cambria" w:cs="Cambria"/>
        </w:rPr>
        <w:t>.</w:t>
      </w:r>
    </w:p>
    <w:p w14:paraId="121FFC3B" w14:textId="71B135AE" w:rsidR="00FA2BF0" w:rsidRPr="00FA2BF0" w:rsidRDefault="00FA2BF0" w:rsidP="00651A63">
      <w:pPr>
        <w:spacing w:after="120"/>
        <w:jc w:val="both"/>
        <w:rPr>
          <w:rFonts w:ascii="Cambria" w:eastAsia="Cambria" w:hAnsi="Cambria" w:cs="Cambria"/>
        </w:rPr>
      </w:pPr>
      <w:r w:rsidRPr="00FA2BF0">
        <w:rPr>
          <w:rFonts w:ascii="Cambria" w:eastAsia="Cambria" w:hAnsi="Cambria" w:cs="Cambria"/>
        </w:rPr>
        <w:t>These insights carry important implications for investors, regulators, and financial institutions. For investors, awareness of the strong link between trading activity and volatility is essential for managing risks, particularly during periods of heightened market uncertainty</w:t>
      </w:r>
      <w:r w:rsidR="001A1292" w:rsidRPr="001A1292">
        <w:rPr>
          <w:rFonts w:ascii="Cambria" w:eastAsia="Cambria" w:hAnsi="Cambria" w:cs="Cambria"/>
          <w:color w:val="000000"/>
        </w:rPr>
        <w:t xml:space="preserve"> </w:t>
      </w:r>
      <w:sdt>
        <w:sdtPr>
          <w:rPr>
            <w:rFonts w:ascii="Cambria" w:eastAsia="Cambria" w:hAnsi="Cambria" w:cs="Cambria"/>
            <w:color w:val="000000"/>
          </w:rPr>
          <w:tag w:val="MENDELEY_CITATION_v3_eyJjaXRhdGlvbklEIjoiTUVOREVMRVlfQ0lUQVRJT05fZjhjZTVjOWYtYTZkZC00YTBmLTg5MzUtZjg0YjExZmZjMDFmIiwicHJvcGVydGllcyI6eyJub3RlSW5kZXgiOjB9LCJpc0VkaXRlZCI6ZmFsc2UsIm1hbnVhbE92ZXJyaWRlIjp7ImlzTWFudWFsbHlPdmVycmlkZGVuIjp0cnVlLCJjaXRlcHJvY1RleHQiOiIoWmhhbmcgZXQgYWwuLCAyMDIyKSIsIm1hbnVhbE92ZXJyaWRlVGV4dCI6IihTYW50b3NvIGV0IGFsLi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
          <w:id w:val="-1427185086"/>
          <w:placeholder>
            <w:docPart w:val="6675988930104F5B89A48CA146D3B785"/>
          </w:placeholder>
        </w:sdtPr>
        <w:sdtContent>
          <w:r w:rsidR="001A1292">
            <w:rPr>
              <w:rFonts w:ascii="Cambria" w:eastAsia="Cambria" w:hAnsi="Cambria" w:cs="Cambria"/>
              <w:color w:val="000000"/>
            </w:rPr>
            <w:t>Mauliansyah</w:t>
          </w:r>
          <w:r w:rsidR="001A1292" w:rsidRPr="00D16177">
            <w:rPr>
              <w:rFonts w:ascii="Cambria" w:eastAsia="Cambria" w:hAnsi="Cambria" w:cs="Cambria"/>
              <w:color w:val="000000"/>
            </w:rPr>
            <w:t>.</w:t>
          </w:r>
          <w:r w:rsidR="001A1292">
            <w:rPr>
              <w:rFonts w:ascii="Cambria" w:eastAsia="Cambria" w:hAnsi="Cambria" w:cs="Cambria"/>
              <w:color w:val="000000"/>
            </w:rPr>
            <w:t xml:space="preserve"> H</w:t>
          </w:r>
          <w:r w:rsidR="001A1292" w:rsidRPr="00D16177">
            <w:rPr>
              <w:rFonts w:ascii="Cambria" w:eastAsia="Cambria" w:hAnsi="Cambria" w:cs="Cambria"/>
              <w:color w:val="000000"/>
            </w:rPr>
            <w:t>, 202</w:t>
          </w:r>
          <w:r w:rsidR="001A1292">
            <w:rPr>
              <w:rFonts w:ascii="Cambria" w:eastAsia="Cambria" w:hAnsi="Cambria" w:cs="Cambria"/>
              <w:color w:val="000000"/>
            </w:rPr>
            <w:t>4</w:t>
          </w:r>
          <w:r w:rsidR="001A1292" w:rsidRPr="00D16177">
            <w:rPr>
              <w:rFonts w:ascii="Cambria" w:eastAsia="Cambria" w:hAnsi="Cambria" w:cs="Cambria"/>
              <w:color w:val="000000"/>
            </w:rPr>
            <w:t>)</w:t>
          </w:r>
        </w:sdtContent>
      </w:sdt>
      <w:r w:rsidR="001A1292">
        <w:rPr>
          <w:rStyle w:val="FootnoteReference"/>
          <w:rFonts w:ascii="Cambria" w:eastAsia="Cambria" w:hAnsi="Cambria" w:cs="Cambria"/>
          <w:color w:val="000000"/>
        </w:rPr>
        <w:footnoteReference w:id="22"/>
      </w:r>
      <w:r w:rsidRPr="00FA2BF0">
        <w:rPr>
          <w:rFonts w:ascii="Cambria" w:eastAsia="Cambria" w:hAnsi="Cambria" w:cs="Cambria"/>
        </w:rPr>
        <w:t>. Strategies such as diversification, stop-loss mechanisms, and active portfolio adjustments can help mitigate potential downsides. For regulators, enhancing transparency, improving access to real-time trading data, and considering stabilizing mechanisms—such as circuit breakers—are vital to maintaining market integrity. Meanwhile, financial institutions are encouraged to provide investors with robust analytical tools, educational resources, and advisory support to strengthen financial literacy and informed decision-making.</w:t>
      </w:r>
    </w:p>
    <w:p w14:paraId="2F974FCE" w14:textId="03ACF788" w:rsidR="00FA2BF0" w:rsidRDefault="00FA2BF0" w:rsidP="00FA2BF0">
      <w:pPr>
        <w:jc w:val="both"/>
        <w:rPr>
          <w:rFonts w:ascii="Cambria" w:eastAsia="Cambria" w:hAnsi="Cambria" w:cs="Cambria"/>
        </w:rPr>
      </w:pPr>
      <w:r w:rsidRPr="00FA2BF0">
        <w:rPr>
          <w:rFonts w:ascii="Cambria" w:eastAsia="Cambria" w:hAnsi="Cambria" w:cs="Cambria"/>
        </w:rPr>
        <w:t>Ultimately, addressing the challenges of volatility requires collaboration among stakeholders. Regular dialogue between regulators, investors, and researchers can promote the exchange of best practices and foster a more resilient market. By integrating investor education, regulatory oversight, and institutional support, the Indonesian capital market can better navigate volatility while sustaining growth and stability.</w:t>
      </w:r>
    </w:p>
    <w:p w14:paraId="0AECA01F" w14:textId="57B65A80" w:rsidR="00651A63" w:rsidRDefault="00651A63" w:rsidP="00651A63">
      <w:pPr>
        <w:pStyle w:val="NormalWeb"/>
        <w:spacing w:before="0" w:beforeAutospacing="0" w:after="0" w:afterAutospacing="0"/>
        <w:rPr>
          <w:b/>
          <w:bCs/>
        </w:rPr>
      </w:pPr>
      <w:r w:rsidRPr="00651A63">
        <w:rPr>
          <w:b/>
          <w:bCs/>
        </w:rPr>
        <w:t>References</w:t>
      </w:r>
    </w:p>
    <w:sdt>
      <w:sdtPr>
        <w:rPr>
          <w:rFonts w:ascii="Calibri" w:eastAsia="Calibri" w:hAnsi="Calibri" w:cs="Calibri"/>
          <w:bCs/>
          <w:color w:val="000000"/>
          <w:sz w:val="14"/>
          <w:szCs w:val="14"/>
          <w:lang w:val="en-GB"/>
        </w:rPr>
        <w:tag w:val="MENDELEY_BIBLIOGRAPHY"/>
        <w:id w:val="-526725429"/>
        <w:placeholder>
          <w:docPart w:val="DefaultPlaceholder_-1854013440"/>
        </w:placeholder>
      </w:sdtPr>
      <w:sdtEndPr/>
      <w:sdtContent>
        <w:p w14:paraId="4043201C" w14:textId="77777777" w:rsidR="00D16177" w:rsidRDefault="00D16177" w:rsidP="00D16177">
          <w:pPr>
            <w:pStyle w:val="NormalWeb"/>
            <w:spacing w:before="0" w:beforeAutospacing="0" w:after="120" w:afterAutospacing="0"/>
            <w:ind w:left="720" w:hanging="720"/>
            <w:jc w:val="both"/>
            <w:divId w:val="306011832"/>
          </w:pPr>
          <w:r>
            <w:t xml:space="preserve">Budiarto, A. (2021). </w:t>
          </w:r>
          <w:r>
            <w:rPr>
              <w:rStyle w:val="Emphasis"/>
              <w:rFonts w:eastAsiaTheme="majorEastAsia"/>
            </w:rPr>
            <w:t>Sectoral analysis of stock price volatility in Indonesia.</w:t>
          </w:r>
          <w:r>
            <w:t xml:space="preserve"> </w:t>
          </w:r>
          <w:r>
            <w:rPr>
              <w:rStyle w:val="Emphasis"/>
              <w:rFonts w:eastAsiaTheme="majorEastAsia"/>
            </w:rPr>
            <w:t>Journal of Indonesian Capital Market Studies, 9</w:t>
          </w:r>
          <w:r>
            <w:t>(1), 45–60.</w:t>
          </w:r>
        </w:p>
        <w:p w14:paraId="6A33A45E" w14:textId="77777777" w:rsidR="00D16177" w:rsidRDefault="00D16177" w:rsidP="00D16177">
          <w:pPr>
            <w:pStyle w:val="NormalWeb"/>
            <w:spacing w:before="0" w:beforeAutospacing="0" w:after="120" w:afterAutospacing="0"/>
            <w:ind w:left="720" w:hanging="720"/>
            <w:jc w:val="both"/>
            <w:divId w:val="306011832"/>
          </w:pPr>
          <w:r>
            <w:t xml:space="preserve">Chakravarty, S., Duffy, J., &amp; Lee, K. (2020). </w:t>
          </w:r>
          <w:r>
            <w:rPr>
              <w:rStyle w:val="Emphasis"/>
              <w:rFonts w:eastAsiaTheme="majorEastAsia"/>
            </w:rPr>
            <w:t>The role of volume in stock price dynamics: An empirical analysis.</w:t>
          </w:r>
          <w:r>
            <w:t xml:space="preserve"> </w:t>
          </w:r>
          <w:r>
            <w:rPr>
              <w:rStyle w:val="Emphasis"/>
              <w:rFonts w:eastAsiaTheme="majorEastAsia"/>
            </w:rPr>
            <w:t>Journal of Financial Markets, 50,</w:t>
          </w:r>
          <w:r>
            <w:t xml:space="preserve"> 100–120. </w:t>
          </w:r>
          <w:hyperlink r:id="rId8" w:tgtFrame="_new" w:history="1">
            <w:r>
              <w:rPr>
                <w:rStyle w:val="Hyperlink"/>
                <w:rFonts w:eastAsiaTheme="minorEastAsia"/>
              </w:rPr>
              <w:t>https://doi.org/10.1016/j.finmar.2020.100120</w:t>
            </w:r>
          </w:hyperlink>
        </w:p>
        <w:p w14:paraId="5A358DF4" w14:textId="77777777" w:rsidR="00D16177" w:rsidRDefault="00D16177" w:rsidP="00D16177">
          <w:pPr>
            <w:pStyle w:val="NormalWeb"/>
            <w:spacing w:before="0" w:beforeAutospacing="0" w:after="120" w:afterAutospacing="0"/>
            <w:ind w:left="720" w:hanging="720"/>
            <w:jc w:val="both"/>
            <w:divId w:val="306011832"/>
          </w:pPr>
          <w:r>
            <w:t xml:space="preserve">Chong, J., Lim, K., &amp; Wong, L. (2021). </w:t>
          </w:r>
          <w:r>
            <w:rPr>
              <w:rStyle w:val="Emphasis"/>
              <w:rFonts w:eastAsiaTheme="majorEastAsia"/>
            </w:rPr>
            <w:t>The impact of trading volume on stock price volatility: Evidence from emerging markets.</w:t>
          </w:r>
          <w:r>
            <w:t xml:space="preserve"> </w:t>
          </w:r>
          <w:r>
            <w:rPr>
              <w:rStyle w:val="Emphasis"/>
              <w:rFonts w:eastAsiaTheme="majorEastAsia"/>
            </w:rPr>
            <w:t>Journal of Economic Studies, 48</w:t>
          </w:r>
          <w:r>
            <w:t xml:space="preserve">(3), 643–658. </w:t>
          </w:r>
          <w:hyperlink r:id="rId9" w:tgtFrame="_new" w:history="1">
            <w:r>
              <w:rPr>
                <w:rStyle w:val="Hyperlink"/>
                <w:rFonts w:eastAsiaTheme="minorEastAsia"/>
              </w:rPr>
              <w:t>https://doi.org/10.1108/JES-09-2020-0456</w:t>
            </w:r>
          </w:hyperlink>
        </w:p>
        <w:p w14:paraId="5393A161" w14:textId="77777777" w:rsidR="00D16177" w:rsidRDefault="00D16177" w:rsidP="00D16177">
          <w:pPr>
            <w:pStyle w:val="NormalWeb"/>
            <w:spacing w:before="0" w:beforeAutospacing="0" w:after="120" w:afterAutospacing="0"/>
            <w:ind w:left="720" w:hanging="720"/>
            <w:jc w:val="both"/>
            <w:divId w:val="306011832"/>
          </w:pPr>
          <w:r>
            <w:t xml:space="preserve">Creswell, J. W., &amp; Creswell, J. D. (2020). </w:t>
          </w:r>
          <w:r>
            <w:rPr>
              <w:rStyle w:val="Emphasis"/>
              <w:rFonts w:eastAsiaTheme="majorEastAsia"/>
            </w:rPr>
            <w:t>Research design: Qualitative, quantitative, and mixed methods approaches.</w:t>
          </w:r>
          <w:r>
            <w:t xml:space="preserve"> Sage.</w:t>
          </w:r>
        </w:p>
        <w:p w14:paraId="61A2FAFA" w14:textId="77777777" w:rsidR="00D16177" w:rsidRDefault="00D16177" w:rsidP="00D16177">
          <w:pPr>
            <w:pStyle w:val="NormalWeb"/>
            <w:spacing w:before="0" w:beforeAutospacing="0" w:after="120" w:afterAutospacing="0"/>
            <w:ind w:left="720" w:hanging="720"/>
            <w:jc w:val="both"/>
            <w:divId w:val="306011832"/>
          </w:pPr>
          <w:r>
            <w:t xml:space="preserve">Halim, A., &amp; Rahman, F. (2022). </w:t>
          </w:r>
          <w:r>
            <w:rPr>
              <w:rStyle w:val="Emphasis"/>
              <w:rFonts w:eastAsiaTheme="majorEastAsia"/>
            </w:rPr>
            <w:t>Trading volume and volatility: A study of the Indonesian stock market.</w:t>
          </w:r>
          <w:r>
            <w:t xml:space="preserve"> </w:t>
          </w:r>
          <w:r>
            <w:rPr>
              <w:rStyle w:val="Emphasis"/>
              <w:rFonts w:eastAsiaTheme="majorEastAsia"/>
            </w:rPr>
            <w:t>Indonesian Journal of Finance, 14</w:t>
          </w:r>
          <w:r>
            <w:t>(2), 115–130.</w:t>
          </w:r>
        </w:p>
        <w:p w14:paraId="44832282" w14:textId="77777777" w:rsidR="00D16177" w:rsidRDefault="00D16177" w:rsidP="00D16177">
          <w:pPr>
            <w:pStyle w:val="NormalWeb"/>
            <w:spacing w:before="0" w:beforeAutospacing="0" w:after="120" w:afterAutospacing="0"/>
            <w:ind w:left="720" w:hanging="720"/>
            <w:jc w:val="both"/>
            <w:divId w:val="306011832"/>
          </w:pPr>
          <w:r>
            <w:t xml:space="preserve">Halim, A., &amp; Setiawan, R. (2023). </w:t>
          </w:r>
          <w:r>
            <w:rPr>
              <w:rStyle w:val="Emphasis"/>
              <w:rFonts w:eastAsiaTheme="majorEastAsia"/>
            </w:rPr>
            <w:t>The impact of economic indicators on stock market volatility in Indonesia.</w:t>
          </w:r>
          <w:r>
            <w:t xml:space="preserve"> </w:t>
          </w:r>
          <w:r>
            <w:rPr>
              <w:rStyle w:val="Emphasis"/>
              <w:rFonts w:eastAsiaTheme="majorEastAsia"/>
            </w:rPr>
            <w:t>Journal of Indonesian Economic Studies, 12</w:t>
          </w:r>
          <w:r>
            <w:t>(1), 45–60.</w:t>
          </w:r>
        </w:p>
        <w:p w14:paraId="75CFBF52" w14:textId="77777777" w:rsidR="00D16177" w:rsidRDefault="00D16177" w:rsidP="00D16177">
          <w:pPr>
            <w:pStyle w:val="NormalWeb"/>
            <w:spacing w:before="0" w:beforeAutospacing="0" w:after="120" w:afterAutospacing="0"/>
            <w:ind w:left="720" w:hanging="720"/>
            <w:jc w:val="both"/>
            <w:divId w:val="306011832"/>
          </w:pPr>
          <w:r>
            <w:t xml:space="preserve">IDX. (2021). </w:t>
          </w:r>
          <w:r>
            <w:rPr>
              <w:rStyle w:val="Emphasis"/>
              <w:rFonts w:eastAsiaTheme="majorEastAsia"/>
            </w:rPr>
            <w:t>Annual report 2021.</w:t>
          </w:r>
          <w:r>
            <w:t xml:space="preserve"> Indonesia Stock Exchange. </w:t>
          </w:r>
          <w:hyperlink r:id="rId10" w:tgtFrame="_new" w:history="1">
            <w:r>
              <w:rPr>
                <w:rStyle w:val="Hyperlink"/>
                <w:rFonts w:eastAsiaTheme="minorEastAsia"/>
              </w:rPr>
              <w:t>https://www.idx.co.id</w:t>
            </w:r>
          </w:hyperlink>
        </w:p>
        <w:p w14:paraId="3DEBB4C9" w14:textId="77777777" w:rsidR="00D16177" w:rsidRDefault="00D16177" w:rsidP="00D16177">
          <w:pPr>
            <w:pStyle w:val="NormalWeb"/>
            <w:spacing w:before="0" w:beforeAutospacing="0" w:after="120" w:afterAutospacing="0"/>
            <w:ind w:left="720" w:hanging="720"/>
            <w:jc w:val="both"/>
            <w:divId w:val="306011832"/>
          </w:pPr>
          <w:r>
            <w:t xml:space="preserve">IDX. (2023). </w:t>
          </w:r>
          <w:r>
            <w:rPr>
              <w:rStyle w:val="Emphasis"/>
              <w:rFonts w:eastAsiaTheme="majorEastAsia"/>
            </w:rPr>
            <w:t>Indonesia Stock Exchange annual report 2022.</w:t>
          </w:r>
          <w:r>
            <w:t xml:space="preserve"> IDX Press.</w:t>
          </w:r>
        </w:p>
        <w:p w14:paraId="16835093" w14:textId="77777777" w:rsidR="00D16177" w:rsidRDefault="00D16177" w:rsidP="00D16177">
          <w:pPr>
            <w:pStyle w:val="NormalWeb"/>
            <w:spacing w:before="0" w:beforeAutospacing="0" w:after="120" w:afterAutospacing="0"/>
            <w:ind w:left="720" w:hanging="720"/>
            <w:jc w:val="both"/>
            <w:divId w:val="306011832"/>
          </w:pPr>
          <w:r>
            <w:t xml:space="preserve">Jansen, W., &amp; de Jong, F. (2022). </w:t>
          </w:r>
          <w:r>
            <w:rPr>
              <w:rStyle w:val="Emphasis"/>
              <w:rFonts w:eastAsiaTheme="majorEastAsia"/>
            </w:rPr>
            <w:t>Regulatory frameworks and market stability: Lessons from emerging markets.</w:t>
          </w:r>
          <w:r>
            <w:t xml:space="preserve"> </w:t>
          </w:r>
          <w:r>
            <w:rPr>
              <w:rStyle w:val="Emphasis"/>
              <w:rFonts w:eastAsiaTheme="majorEastAsia"/>
            </w:rPr>
            <w:t>Emerging Markets Review, 48,</w:t>
          </w:r>
          <w:r>
            <w:t xml:space="preserve"> 100–115. </w:t>
          </w:r>
          <w:hyperlink r:id="rId11" w:tgtFrame="_new" w:history="1">
            <w:r>
              <w:rPr>
                <w:rStyle w:val="Hyperlink"/>
                <w:rFonts w:eastAsiaTheme="minorEastAsia"/>
              </w:rPr>
              <w:t>https://doi.org/10.1016/j.ememar.2021.100115</w:t>
            </w:r>
          </w:hyperlink>
        </w:p>
        <w:p w14:paraId="46B6CACE" w14:textId="4FAC5BED" w:rsidR="00D16177" w:rsidRDefault="00D16177" w:rsidP="00D16177">
          <w:pPr>
            <w:pStyle w:val="NormalWeb"/>
            <w:spacing w:before="0" w:beforeAutospacing="0" w:after="120" w:afterAutospacing="0"/>
            <w:ind w:left="720" w:hanging="720"/>
            <w:jc w:val="both"/>
            <w:divId w:val="306011832"/>
            <w:rPr>
              <w:rStyle w:val="Hyperlink"/>
              <w:rFonts w:eastAsiaTheme="minorEastAsia"/>
            </w:rPr>
          </w:pPr>
          <w:r>
            <w:t xml:space="preserve">Liu, Y., Zhang, Y., &amp; Wang, Y. (2021). </w:t>
          </w:r>
          <w:r>
            <w:rPr>
              <w:rStyle w:val="Emphasis"/>
              <w:rFonts w:eastAsiaTheme="majorEastAsia"/>
            </w:rPr>
            <w:t>Volatility and investor behavior: Evidence from emerging markets.</w:t>
          </w:r>
          <w:r>
            <w:t xml:space="preserve"> </w:t>
          </w:r>
          <w:r>
            <w:rPr>
              <w:rStyle w:val="Emphasis"/>
              <w:rFonts w:eastAsiaTheme="majorEastAsia"/>
            </w:rPr>
            <w:t>International Review of Financial Analysis, 75,</w:t>
          </w:r>
          <w:r>
            <w:t xml:space="preserve"> 101–120. </w:t>
          </w:r>
          <w:hyperlink r:id="rId12" w:tgtFrame="_new" w:history="1">
            <w:r>
              <w:rPr>
                <w:rStyle w:val="Hyperlink"/>
                <w:rFonts w:eastAsiaTheme="minorEastAsia"/>
              </w:rPr>
              <w:t>https://doi.org/10.1016/j.irfa.2021.101120</w:t>
            </w:r>
          </w:hyperlink>
        </w:p>
        <w:p w14:paraId="224F8524" w14:textId="0C0AD04D" w:rsidR="001A1292" w:rsidRDefault="001A1292" w:rsidP="00D16177">
          <w:pPr>
            <w:pStyle w:val="NormalWeb"/>
            <w:spacing w:before="0" w:beforeAutospacing="0" w:after="120" w:afterAutospacing="0"/>
            <w:ind w:left="720" w:hanging="720"/>
            <w:jc w:val="both"/>
            <w:divId w:val="306011832"/>
          </w:pPr>
          <w:r w:rsidRPr="001A1292">
            <w:lastRenderedPageBreak/>
            <w:t xml:space="preserve">Mauliansyah, H. (2024). </w:t>
          </w:r>
          <w:r w:rsidRPr="001A1292">
            <w:rPr>
              <w:i/>
              <w:iCs/>
            </w:rPr>
            <w:t>Pengaruh Ukuran Perusahaan, Profitabilitas Dan Likuiditas Terhadap Kebijakan Dividen Pada Perusahaan Sub Sektor Food and Beverage yang Terdaftar Di Bursa Efek Indonesia Periode 2021-2022</w:t>
          </w:r>
          <w:r w:rsidRPr="001A1292">
            <w:t>. BE-HISZ, 1(2).</w:t>
          </w:r>
        </w:p>
        <w:p w14:paraId="15E5D2FF" w14:textId="5B5E3213" w:rsidR="001A1292" w:rsidRDefault="001A1292" w:rsidP="00D16177">
          <w:pPr>
            <w:pStyle w:val="NormalWeb"/>
            <w:spacing w:before="0" w:beforeAutospacing="0" w:after="120" w:afterAutospacing="0"/>
            <w:ind w:left="720" w:hanging="720"/>
            <w:jc w:val="both"/>
            <w:divId w:val="306011832"/>
          </w:pPr>
          <w:r w:rsidRPr="001A1292">
            <w:t xml:space="preserve">Mauliansyah, H., Anam, B. S., &amp; Umar, Z. (2024). </w:t>
          </w:r>
          <w:r w:rsidRPr="001A1292">
            <w:rPr>
              <w:i/>
              <w:iCs/>
            </w:rPr>
            <w:t>Pengaruh Karakteristik Ceo, Komisaris Independen Dan Kualitas Audit Terhadap Penghindaran Pajak Pada Perusahaan Otomotif Dan Komponen Yang Terdaftar Di Bursa Efek Indonesia Periode 2016-2020</w:t>
          </w:r>
          <w:r w:rsidRPr="001A1292">
            <w:t>. BE-HISZ, 1(2).</w:t>
          </w:r>
        </w:p>
        <w:p w14:paraId="6D8F0B89" w14:textId="77777777" w:rsidR="00D16177" w:rsidRDefault="00D16177" w:rsidP="00D16177">
          <w:pPr>
            <w:pStyle w:val="NormalWeb"/>
            <w:spacing w:before="0" w:beforeAutospacing="0" w:after="120" w:afterAutospacing="0"/>
            <w:ind w:left="720" w:hanging="720"/>
            <w:jc w:val="both"/>
            <w:divId w:val="306011832"/>
          </w:pPr>
          <w:r>
            <w:t xml:space="preserve">Nugroho, A., &amp; Santoso, H. (2021). </w:t>
          </w:r>
          <w:r>
            <w:rPr>
              <w:rStyle w:val="Emphasis"/>
              <w:rFonts w:eastAsiaTheme="majorEastAsia"/>
            </w:rPr>
            <w:t>Market capitalization and stock volatility: Evidence from Indonesia.</w:t>
          </w:r>
          <w:r>
            <w:t xml:space="preserve"> </w:t>
          </w:r>
          <w:r>
            <w:rPr>
              <w:rStyle w:val="Emphasis"/>
              <w:rFonts w:eastAsiaTheme="majorEastAsia"/>
            </w:rPr>
            <w:t>Asian Economic and Financial Review, 11</w:t>
          </w:r>
          <w:r>
            <w:t xml:space="preserve">(5), 543–558. </w:t>
          </w:r>
          <w:hyperlink r:id="rId13" w:tgtFrame="_new" w:history="1">
            <w:r>
              <w:rPr>
                <w:rStyle w:val="Hyperlink"/>
                <w:rFonts w:eastAsiaTheme="minorEastAsia"/>
              </w:rPr>
              <w:t>https://doi.org/10.18488/journal.aefr.2021.115.543.558</w:t>
            </w:r>
          </w:hyperlink>
        </w:p>
        <w:p w14:paraId="23BA8AA5" w14:textId="77777777" w:rsidR="00D16177" w:rsidRDefault="00D16177" w:rsidP="00D16177">
          <w:pPr>
            <w:pStyle w:val="NormalWeb"/>
            <w:spacing w:before="0" w:beforeAutospacing="0" w:after="120" w:afterAutospacing="0"/>
            <w:ind w:left="720" w:hanging="720"/>
            <w:jc w:val="both"/>
            <w:divId w:val="306011832"/>
          </w:pPr>
          <w:r>
            <w:t xml:space="preserve">Nugroho, A., Prabowo, D., &amp; Yulianto, R. (2021). </w:t>
          </w:r>
          <w:r>
            <w:rPr>
              <w:rStyle w:val="Emphasis"/>
              <w:rFonts w:eastAsiaTheme="majorEastAsia"/>
            </w:rPr>
            <w:t>Quantitative analysis of stock market trends in emerging markets.</w:t>
          </w:r>
          <w:r>
            <w:t xml:space="preserve"> </w:t>
          </w:r>
          <w:r>
            <w:rPr>
              <w:rStyle w:val="Emphasis"/>
              <w:rFonts w:eastAsiaTheme="majorEastAsia"/>
            </w:rPr>
            <w:t>Emerging Markets Finance and Trade, 57</w:t>
          </w:r>
          <w:r>
            <w:t>(3), 789–803.</w:t>
          </w:r>
        </w:p>
        <w:p w14:paraId="4665A9CB" w14:textId="77777777" w:rsidR="00D16177" w:rsidRDefault="00D16177" w:rsidP="00D16177">
          <w:pPr>
            <w:pStyle w:val="NormalWeb"/>
            <w:spacing w:before="0" w:beforeAutospacing="0" w:after="120" w:afterAutospacing="0"/>
            <w:ind w:left="720" w:hanging="720"/>
            <w:jc w:val="both"/>
            <w:divId w:val="306011832"/>
          </w:pPr>
          <w:r>
            <w:t xml:space="preserve">Otoritas Jasa Keuangan. (2022). </w:t>
          </w:r>
          <w:r>
            <w:rPr>
              <w:rStyle w:val="Emphasis"/>
              <w:rFonts w:eastAsiaTheme="majorEastAsia"/>
            </w:rPr>
            <w:t>Market report: Impact of COVID-19 on Indonesian capital market.</w:t>
          </w:r>
          <w:r>
            <w:t xml:space="preserve"> OJK. </w:t>
          </w:r>
          <w:hyperlink r:id="rId14" w:tgtFrame="_new" w:history="1">
            <w:r>
              <w:rPr>
                <w:rStyle w:val="Hyperlink"/>
                <w:rFonts w:eastAsiaTheme="minorEastAsia"/>
              </w:rPr>
              <w:t>https://ojk.go.id</w:t>
            </w:r>
          </w:hyperlink>
        </w:p>
        <w:p w14:paraId="452FA005" w14:textId="77777777" w:rsidR="00D16177" w:rsidRDefault="00D16177" w:rsidP="00D16177">
          <w:pPr>
            <w:pStyle w:val="NormalWeb"/>
            <w:spacing w:before="0" w:beforeAutospacing="0" w:after="120" w:afterAutospacing="0"/>
            <w:ind w:left="720" w:hanging="720"/>
            <w:jc w:val="both"/>
            <w:divId w:val="306011832"/>
          </w:pPr>
          <w:r>
            <w:t xml:space="preserve">Prabowo, D., &amp; Yulianto, R. (2021). </w:t>
          </w:r>
          <w:r>
            <w:rPr>
              <w:rStyle w:val="Emphasis"/>
              <w:rFonts w:eastAsiaTheme="majorEastAsia"/>
            </w:rPr>
            <w:t>Trading volume and its effect on stock price volatility: Evidence from Indonesia.</w:t>
          </w:r>
          <w:r>
            <w:t xml:space="preserve"> </w:t>
          </w:r>
          <w:r>
            <w:rPr>
              <w:rStyle w:val="Emphasis"/>
              <w:rFonts w:eastAsiaTheme="majorEastAsia"/>
            </w:rPr>
            <w:t>International Journal of Financial Studies, 9</w:t>
          </w:r>
          <w:r>
            <w:t>(4), 58–75.</w:t>
          </w:r>
        </w:p>
        <w:p w14:paraId="4F1AC066" w14:textId="77777777" w:rsidR="00D16177" w:rsidRDefault="00D16177" w:rsidP="00D16177">
          <w:pPr>
            <w:pStyle w:val="NormalWeb"/>
            <w:spacing w:before="0" w:beforeAutospacing="0" w:after="120" w:afterAutospacing="0"/>
            <w:ind w:left="720" w:hanging="720"/>
            <w:jc w:val="both"/>
            <w:divId w:val="306011832"/>
          </w:pPr>
          <w:r>
            <w:t xml:space="preserve">Prabowo, H., &amp; Sari, R. (2021). </w:t>
          </w:r>
          <w:r>
            <w:rPr>
              <w:rStyle w:val="Emphasis"/>
              <w:rFonts w:eastAsiaTheme="majorEastAsia"/>
            </w:rPr>
            <w:t>The impact of trading volume on stock price volatility: Evidence from Indonesia.</w:t>
          </w:r>
          <w:r>
            <w:t xml:space="preserve"> </w:t>
          </w:r>
          <w:r>
            <w:rPr>
              <w:rStyle w:val="Emphasis"/>
              <w:rFonts w:eastAsiaTheme="majorEastAsia"/>
            </w:rPr>
            <w:t>Asian Journal of Finance &amp; Accounting, 13</w:t>
          </w:r>
          <w:r>
            <w:t>(2), 75–89.</w:t>
          </w:r>
        </w:p>
        <w:p w14:paraId="5053E810" w14:textId="77777777" w:rsidR="00D16177" w:rsidRDefault="00D16177" w:rsidP="00D16177">
          <w:pPr>
            <w:pStyle w:val="NormalWeb"/>
            <w:spacing w:before="0" w:beforeAutospacing="0" w:after="120" w:afterAutospacing="0"/>
            <w:ind w:left="720" w:hanging="720"/>
            <w:jc w:val="both"/>
            <w:divId w:val="306011832"/>
          </w:pPr>
          <w:r>
            <w:t xml:space="preserve">Prasetyo, R., Suhartono, D., &amp; Widyastuti, E. (2023). </w:t>
          </w:r>
          <w:r>
            <w:rPr>
              <w:rStyle w:val="Emphasis"/>
              <w:rFonts w:eastAsiaTheme="majorEastAsia"/>
            </w:rPr>
            <w:t>The role of trading volume in predicting stock price volatility: Evidence from Indonesia.</w:t>
          </w:r>
          <w:r>
            <w:t xml:space="preserve"> </w:t>
          </w:r>
          <w:r>
            <w:rPr>
              <w:rStyle w:val="Emphasis"/>
              <w:rFonts w:eastAsiaTheme="majorEastAsia"/>
            </w:rPr>
            <w:t>International Journal of Financial Studies, 11</w:t>
          </w:r>
          <w:r>
            <w:t xml:space="preserve">(1), 1–15. </w:t>
          </w:r>
          <w:hyperlink r:id="rId15" w:tgtFrame="_new" w:history="1">
            <w:r>
              <w:rPr>
                <w:rStyle w:val="Hyperlink"/>
                <w:rFonts w:eastAsiaTheme="minorEastAsia"/>
              </w:rPr>
              <w:t>https://doi.org/10.3390/ijfs11010001</w:t>
            </w:r>
          </w:hyperlink>
        </w:p>
        <w:p w14:paraId="3DFA93F1" w14:textId="77777777" w:rsidR="00D16177" w:rsidRDefault="00D16177" w:rsidP="00D16177">
          <w:pPr>
            <w:pStyle w:val="NormalWeb"/>
            <w:spacing w:before="0" w:beforeAutospacing="0" w:after="120" w:afterAutospacing="0"/>
            <w:ind w:left="720" w:hanging="720"/>
            <w:jc w:val="both"/>
            <w:divId w:val="306011832"/>
          </w:pPr>
          <w:r>
            <w:t xml:space="preserve">Rizal, M., &amp; Setiawan, R. (2022). </w:t>
          </w:r>
          <w:r>
            <w:rPr>
              <w:rStyle w:val="Emphasis"/>
              <w:rFonts w:eastAsiaTheme="majorEastAsia"/>
            </w:rPr>
            <w:t>Analyzing stock market liquidity and volatility in Indonesia.</w:t>
          </w:r>
          <w:r>
            <w:t xml:space="preserve"> </w:t>
          </w:r>
          <w:r>
            <w:rPr>
              <w:rStyle w:val="Emphasis"/>
              <w:rFonts w:eastAsiaTheme="majorEastAsia"/>
            </w:rPr>
            <w:t>Asian Journal of Finance &amp; Accounting, 14</w:t>
          </w:r>
          <w:r>
            <w:t>(2), 100–115.</w:t>
          </w:r>
        </w:p>
        <w:p w14:paraId="510A4E21" w14:textId="77777777" w:rsidR="00D16177" w:rsidRDefault="00D16177" w:rsidP="00D16177">
          <w:pPr>
            <w:pStyle w:val="NormalWeb"/>
            <w:spacing w:before="0" w:beforeAutospacing="0" w:after="120" w:afterAutospacing="0"/>
            <w:ind w:left="720" w:hanging="720"/>
            <w:jc w:val="both"/>
            <w:divId w:val="306011832"/>
          </w:pPr>
          <w:r>
            <w:t xml:space="preserve">Santoso, B., Nugroho, A., &amp; Lestari, D. (2022). </w:t>
          </w:r>
          <w:r>
            <w:rPr>
              <w:rStyle w:val="Emphasis"/>
              <w:rFonts w:eastAsiaTheme="majorEastAsia"/>
            </w:rPr>
            <w:t>Institutional investors and market volatility: An empirical study of the Indonesian Stock Exchange.</w:t>
          </w:r>
          <w:r>
            <w:t xml:space="preserve"> </w:t>
          </w:r>
          <w:r>
            <w:rPr>
              <w:rStyle w:val="Emphasis"/>
              <w:rFonts w:eastAsiaTheme="majorEastAsia"/>
            </w:rPr>
            <w:t>International Journal of Financial Studies, 10</w:t>
          </w:r>
          <w:r>
            <w:t>(3), 112–130.</w:t>
          </w:r>
        </w:p>
        <w:p w14:paraId="13643011" w14:textId="77777777" w:rsidR="00D16177" w:rsidRDefault="00D16177" w:rsidP="00D16177">
          <w:pPr>
            <w:pStyle w:val="NormalWeb"/>
            <w:spacing w:before="0" w:beforeAutospacing="0" w:after="120" w:afterAutospacing="0"/>
            <w:ind w:left="720" w:hanging="720"/>
            <w:jc w:val="both"/>
            <w:divId w:val="306011832"/>
          </w:pPr>
          <w:r>
            <w:t xml:space="preserve">Sari, N., &amp; Nugroho, A. (2021). </w:t>
          </w:r>
          <w:r>
            <w:rPr>
              <w:rStyle w:val="Emphasis"/>
              <w:rFonts w:eastAsiaTheme="majorEastAsia"/>
            </w:rPr>
            <w:t>Statistical software for financial data analysis: A comparative study.</w:t>
          </w:r>
          <w:r>
            <w:t xml:space="preserve"> </w:t>
          </w:r>
          <w:r>
            <w:rPr>
              <w:rStyle w:val="Emphasis"/>
              <w:rFonts w:eastAsiaTheme="majorEastAsia"/>
            </w:rPr>
            <w:t>Journal of Financial Research, 18</w:t>
          </w:r>
          <w:r>
            <w:t>(2), 120–135.</w:t>
          </w:r>
        </w:p>
        <w:p w14:paraId="0594BB1F" w14:textId="77777777" w:rsidR="00D16177" w:rsidRDefault="00D16177" w:rsidP="00D16177">
          <w:pPr>
            <w:pStyle w:val="NormalWeb"/>
            <w:spacing w:before="0" w:beforeAutospacing="0" w:after="120" w:afterAutospacing="0"/>
            <w:ind w:left="720" w:hanging="720"/>
            <w:jc w:val="both"/>
            <w:divId w:val="306011832"/>
          </w:pPr>
          <w:r>
            <w:t xml:space="preserve">Sari, R., &amp; Widyastuti, A. (2022). </w:t>
          </w:r>
          <w:r>
            <w:rPr>
              <w:rStyle w:val="Emphasis"/>
              <w:rFonts w:eastAsiaTheme="majorEastAsia"/>
            </w:rPr>
            <w:t>Sectoral analysis of trading volume and stock price volatility in Indonesia.</w:t>
          </w:r>
          <w:r>
            <w:t xml:space="preserve"> </w:t>
          </w:r>
          <w:r>
            <w:rPr>
              <w:rStyle w:val="Emphasis"/>
              <w:rFonts w:eastAsiaTheme="majorEastAsia"/>
            </w:rPr>
            <w:t>Journal of Business and Economic Research, 20</w:t>
          </w:r>
          <w:r>
            <w:t>(4), 234–245.</w:t>
          </w:r>
        </w:p>
        <w:p w14:paraId="35DB378E" w14:textId="77777777" w:rsidR="00D16177" w:rsidRDefault="00D16177" w:rsidP="00D16177">
          <w:pPr>
            <w:pStyle w:val="NormalWeb"/>
            <w:spacing w:before="0" w:beforeAutospacing="0" w:after="120" w:afterAutospacing="0"/>
            <w:ind w:left="720" w:hanging="720"/>
            <w:jc w:val="both"/>
            <w:divId w:val="306011832"/>
          </w:pPr>
          <w:r>
            <w:t xml:space="preserve">Setiawan, B., &amp; Lestari, R. (2021). </w:t>
          </w:r>
          <w:r>
            <w:rPr>
              <w:rStyle w:val="Emphasis"/>
              <w:rFonts w:eastAsiaTheme="majorEastAsia"/>
            </w:rPr>
            <w:t>Anomalies in stock price movements: Evidence from the Indonesian market.</w:t>
          </w:r>
          <w:r>
            <w:t xml:space="preserve"> </w:t>
          </w:r>
          <w:r>
            <w:rPr>
              <w:rStyle w:val="Emphasis"/>
              <w:rFonts w:eastAsiaTheme="majorEastAsia"/>
            </w:rPr>
            <w:t>Journal of Financial Markets, 24</w:t>
          </w:r>
          <w:r>
            <w:t>(2), 78–92.</w:t>
          </w:r>
        </w:p>
        <w:p w14:paraId="35EF0B44" w14:textId="77777777" w:rsidR="00D16177" w:rsidRDefault="00D16177" w:rsidP="00D16177">
          <w:pPr>
            <w:pStyle w:val="NormalWeb"/>
            <w:spacing w:before="0" w:beforeAutospacing="0" w:after="120" w:afterAutospacing="0"/>
            <w:ind w:left="720" w:hanging="720"/>
            <w:jc w:val="both"/>
            <w:divId w:val="306011832"/>
          </w:pPr>
          <w:r>
            <w:t xml:space="preserve">Suhartono, D., Prabowo, H., &amp; Widiastuti, E. (2021). </w:t>
          </w:r>
          <w:r>
            <w:rPr>
              <w:rStyle w:val="Emphasis"/>
              <w:rFonts w:eastAsiaTheme="majorEastAsia"/>
            </w:rPr>
            <w:t>Volatility and trading volume: A study of Indonesian stocks.</w:t>
          </w:r>
          <w:r>
            <w:t xml:space="preserve"> </w:t>
          </w:r>
          <w:r>
            <w:rPr>
              <w:rStyle w:val="Emphasis"/>
              <w:rFonts w:eastAsiaTheme="majorEastAsia"/>
            </w:rPr>
            <w:t>Indonesian Journal of Business and Entrepreneurship, 7</w:t>
          </w:r>
          <w:r>
            <w:t>(1), 45–59.</w:t>
          </w:r>
        </w:p>
        <w:p w14:paraId="2E9010E3" w14:textId="77777777" w:rsidR="00D16177" w:rsidRDefault="00D16177" w:rsidP="00D16177">
          <w:pPr>
            <w:pStyle w:val="NormalWeb"/>
            <w:spacing w:before="0" w:beforeAutospacing="0" w:after="120" w:afterAutospacing="0"/>
            <w:ind w:left="720" w:hanging="720"/>
            <w:jc w:val="both"/>
            <w:divId w:val="306011832"/>
          </w:pPr>
          <w:r>
            <w:t xml:space="preserve">Wang, Y., &amp; Chen, Z. (2021). </w:t>
          </w:r>
          <w:r>
            <w:rPr>
              <w:rStyle w:val="Emphasis"/>
              <w:rFonts w:eastAsiaTheme="majorEastAsia"/>
            </w:rPr>
            <w:t>Stock volatility and its determinants: Evidence from emerging markets.</w:t>
          </w:r>
          <w:r>
            <w:t xml:space="preserve"> </w:t>
          </w:r>
          <w:r>
            <w:rPr>
              <w:rStyle w:val="Emphasis"/>
              <w:rFonts w:eastAsiaTheme="majorEastAsia"/>
            </w:rPr>
            <w:t>Finance Research Letters, 38,</w:t>
          </w:r>
          <w:r>
            <w:t xml:space="preserve"> 101–109.</w:t>
          </w:r>
        </w:p>
        <w:p w14:paraId="48A1334C" w14:textId="44A484DD" w:rsidR="00D16177" w:rsidRPr="00AD0041" w:rsidRDefault="00D16177" w:rsidP="00793339">
          <w:pPr>
            <w:pStyle w:val="NormalWeb"/>
            <w:spacing w:before="0" w:beforeAutospacing="0" w:after="120" w:afterAutospacing="0"/>
            <w:ind w:left="720" w:hanging="720"/>
            <w:jc w:val="both"/>
            <w:divId w:val="306011832"/>
            <w:rPr>
              <w:rFonts w:asciiTheme="majorHAnsi" w:hAnsiTheme="majorHAnsi"/>
              <w:sz w:val="22"/>
              <w:szCs w:val="22"/>
            </w:rPr>
          </w:pPr>
          <w:r>
            <w:t xml:space="preserve">Widiastuti, E., &amp; Prabowo, H. (2022). </w:t>
          </w:r>
          <w:r>
            <w:rPr>
              <w:rStyle w:val="Emphasis"/>
              <w:rFonts w:eastAsiaTheme="majorEastAsia"/>
            </w:rPr>
            <w:t>Macroeconomic factors and stock market volatility: Evidence from Indonesia.</w:t>
          </w:r>
          <w:r>
            <w:t xml:space="preserve"> </w:t>
          </w:r>
          <w:r>
            <w:rPr>
              <w:rStyle w:val="Emphasis"/>
              <w:rFonts w:eastAsiaTheme="majorEastAsia"/>
            </w:rPr>
            <w:t>Asian Journal of Business and Management, 10</w:t>
          </w:r>
          <w:r>
            <w:t>(3), 150–162.</w:t>
          </w:r>
        </w:p>
        <w:p w14:paraId="09BAB5C6" w14:textId="6B39B72F" w:rsidR="00B260BC" w:rsidRPr="00B260BC" w:rsidRDefault="00D16177" w:rsidP="00D16177">
          <w:pPr>
            <w:autoSpaceDE w:val="0"/>
            <w:autoSpaceDN w:val="0"/>
            <w:ind w:left="480" w:hanging="480"/>
            <w:divId w:val="306011832"/>
            <w:rPr>
              <w:b/>
              <w:bCs/>
              <w:sz w:val="14"/>
              <w:szCs w:val="14"/>
            </w:rPr>
          </w:pPr>
          <w:r w:rsidRPr="00D16177">
            <w:rPr>
              <w:rFonts w:eastAsia="Times New Roman"/>
              <w:color w:val="000000"/>
            </w:rPr>
            <w:t> </w:t>
          </w:r>
        </w:p>
      </w:sdtContent>
    </w:sdt>
    <w:sectPr w:rsidR="00B260BC" w:rsidRPr="00B260BC" w:rsidSect="00DB5FB2">
      <w:headerReference w:type="default" r:id="rId16"/>
      <w:footerReference w:type="default" r:id="rId17"/>
      <w:headerReference w:type="first" r:id="rId18"/>
      <w:footerReference w:type="first" r:id="rId19"/>
      <w:pgSz w:w="11906" w:h="16838" w:code="9"/>
      <w:pgMar w:top="1418" w:right="1440" w:bottom="1276" w:left="1440" w:header="709" w:footer="709"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F5B49" w14:textId="77777777" w:rsidR="001B2B6C" w:rsidRDefault="001B2B6C" w:rsidP="0024611D">
      <w:pPr>
        <w:spacing w:after="0" w:line="240" w:lineRule="auto"/>
      </w:pPr>
      <w:r>
        <w:separator/>
      </w:r>
    </w:p>
  </w:endnote>
  <w:endnote w:type="continuationSeparator" w:id="0">
    <w:p w14:paraId="06777130" w14:textId="77777777" w:rsidR="001B2B6C" w:rsidRDefault="001B2B6C" w:rsidP="0024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194818"/>
      <w:docPartObj>
        <w:docPartGallery w:val="Page Numbers (Bottom of Page)"/>
        <w:docPartUnique/>
      </w:docPartObj>
    </w:sdtPr>
    <w:sdtEndPr>
      <w:rPr>
        <w:noProof/>
      </w:rPr>
    </w:sdtEndPr>
    <w:sdtContent>
      <w:p w14:paraId="4D843908" w14:textId="08AC3A25" w:rsidR="00DB5FB2" w:rsidRDefault="00DB5F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21B66F" w14:textId="77777777" w:rsidR="00DB5FB2" w:rsidRDefault="00DB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97155"/>
      <w:docPartObj>
        <w:docPartGallery w:val="Page Numbers (Bottom of Page)"/>
        <w:docPartUnique/>
      </w:docPartObj>
    </w:sdtPr>
    <w:sdtEndPr>
      <w:rPr>
        <w:noProof/>
      </w:rPr>
    </w:sdtEndPr>
    <w:sdtContent>
      <w:p w14:paraId="6AC638FB" w14:textId="72D55F28" w:rsidR="00DB5FB2" w:rsidRDefault="00DB5F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369C1" w14:textId="77777777" w:rsidR="00DB5FB2" w:rsidRDefault="00DB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17A4F" w14:textId="77777777" w:rsidR="001B2B6C" w:rsidRDefault="001B2B6C" w:rsidP="0024611D">
      <w:pPr>
        <w:spacing w:after="0" w:line="240" w:lineRule="auto"/>
      </w:pPr>
      <w:r>
        <w:separator/>
      </w:r>
    </w:p>
  </w:footnote>
  <w:footnote w:type="continuationSeparator" w:id="0">
    <w:p w14:paraId="6D7231BB" w14:textId="77777777" w:rsidR="001B2B6C" w:rsidRDefault="001B2B6C" w:rsidP="0024611D">
      <w:pPr>
        <w:spacing w:after="0" w:line="240" w:lineRule="auto"/>
      </w:pPr>
      <w:r>
        <w:continuationSeparator/>
      </w:r>
    </w:p>
  </w:footnote>
  <w:footnote w:id="1">
    <w:p w14:paraId="61A65753" w14:textId="32FFE8BD" w:rsidR="0024611D" w:rsidRPr="0024611D" w:rsidRDefault="0024611D" w:rsidP="0024611D">
      <w:pPr>
        <w:pStyle w:val="FootnoteText"/>
        <w:ind w:left="567" w:hanging="567"/>
        <w:rPr>
          <w:lang w:val="en-US"/>
        </w:rPr>
      </w:pPr>
      <w:r>
        <w:rPr>
          <w:rStyle w:val="FootnoteReference"/>
        </w:rPr>
        <w:footnoteRef/>
      </w:r>
      <w:r>
        <w:t xml:space="preserve"> </w:t>
      </w:r>
      <w:r>
        <w:tab/>
      </w:r>
      <w:r w:rsidRPr="0024611D">
        <w:t>IDX. (2021). Annual report 2021. Indonesia Stock Exchange. https://www.idx.co.id</w:t>
      </w:r>
    </w:p>
  </w:footnote>
  <w:footnote w:id="2">
    <w:p w14:paraId="6ADCACF4" w14:textId="5BDB9F7E" w:rsidR="0024611D" w:rsidRPr="0024611D" w:rsidRDefault="0024611D" w:rsidP="00555C38">
      <w:pPr>
        <w:pStyle w:val="FootnoteText"/>
        <w:ind w:left="567" w:hanging="567"/>
        <w:jc w:val="both"/>
        <w:rPr>
          <w:lang w:val="en-US"/>
        </w:rPr>
      </w:pPr>
      <w:r>
        <w:rPr>
          <w:rStyle w:val="FootnoteReference"/>
        </w:rPr>
        <w:footnoteRef/>
      </w:r>
      <w:r>
        <w:t xml:space="preserve"> </w:t>
      </w:r>
      <w:r>
        <w:tab/>
      </w:r>
      <w:r w:rsidRPr="0024611D">
        <w:t>Liu, Y., Zhang, Y., &amp; Wang, Y. (2021). Volatility and investor behavior: Evidence from emerging markets. International Review of Financial Analysis, 75, 101–120.</w:t>
      </w:r>
    </w:p>
  </w:footnote>
  <w:footnote w:id="3">
    <w:p w14:paraId="0FDE631B" w14:textId="39C80FA3" w:rsidR="0024611D" w:rsidRPr="0024611D" w:rsidRDefault="0024611D" w:rsidP="00555C38">
      <w:pPr>
        <w:pStyle w:val="FootnoteText"/>
        <w:ind w:left="567" w:hanging="567"/>
        <w:jc w:val="both"/>
        <w:rPr>
          <w:lang w:val="en-US"/>
        </w:rPr>
      </w:pPr>
      <w:r>
        <w:rPr>
          <w:rStyle w:val="FootnoteReference"/>
        </w:rPr>
        <w:footnoteRef/>
      </w:r>
      <w:r>
        <w:t xml:space="preserve"> </w:t>
      </w:r>
      <w:r>
        <w:tab/>
      </w:r>
      <w:r w:rsidRPr="0024611D">
        <w:t>Chakravarty, S., Duffy, J., &amp; Lee, K. (2020). The role of volume in stock price dynamics: An empirical analysis. Journal of Financial Markets, 50, 100–120.</w:t>
      </w:r>
    </w:p>
  </w:footnote>
  <w:footnote w:id="4">
    <w:p w14:paraId="40451B32" w14:textId="0A30E955" w:rsidR="0024611D" w:rsidRPr="0024611D" w:rsidRDefault="0024611D" w:rsidP="00555C38">
      <w:pPr>
        <w:pStyle w:val="FootnoteText"/>
        <w:ind w:left="567" w:hanging="567"/>
        <w:jc w:val="both"/>
        <w:rPr>
          <w:lang w:val="en-US"/>
        </w:rPr>
      </w:pPr>
      <w:r>
        <w:rPr>
          <w:rStyle w:val="FootnoteReference"/>
        </w:rPr>
        <w:footnoteRef/>
      </w:r>
      <w:r>
        <w:t xml:space="preserve"> </w:t>
      </w:r>
      <w:r>
        <w:tab/>
      </w:r>
      <w:r w:rsidRPr="0024611D">
        <w:t>Jansen, W., &amp; de Jong, F. (2022). Regulatory frameworks and market stability: Lessons from emerging markets. Emerging Markets Review, 48, 100–115.</w:t>
      </w:r>
    </w:p>
  </w:footnote>
  <w:footnote w:id="5">
    <w:p w14:paraId="4566A7A5" w14:textId="00BEBA4E" w:rsidR="0024611D" w:rsidRPr="0024611D" w:rsidRDefault="0024611D" w:rsidP="00555C38">
      <w:pPr>
        <w:pStyle w:val="FootnoteText"/>
        <w:ind w:left="567" w:hanging="567"/>
        <w:jc w:val="both"/>
        <w:rPr>
          <w:lang w:val="en-US"/>
        </w:rPr>
      </w:pPr>
      <w:r>
        <w:rPr>
          <w:rStyle w:val="FootnoteReference"/>
        </w:rPr>
        <w:footnoteRef/>
      </w:r>
      <w:r>
        <w:t xml:space="preserve"> </w:t>
      </w:r>
      <w:r>
        <w:tab/>
      </w:r>
      <w:r w:rsidRPr="0024611D">
        <w:t>Creswell, J. W., &amp; Creswell, J. D. (2020). Research design: Qualitative, quantitative, and mixed methods approaches. Sage.</w:t>
      </w:r>
    </w:p>
  </w:footnote>
  <w:footnote w:id="6">
    <w:p w14:paraId="3B816D1C" w14:textId="5501F111" w:rsidR="0024611D" w:rsidRPr="0024611D" w:rsidRDefault="0024611D" w:rsidP="00555C38">
      <w:pPr>
        <w:pStyle w:val="FootnoteText"/>
        <w:ind w:left="567" w:hanging="567"/>
        <w:jc w:val="both"/>
        <w:rPr>
          <w:lang w:val="en-US"/>
        </w:rPr>
      </w:pPr>
      <w:r>
        <w:rPr>
          <w:rStyle w:val="FootnoteReference"/>
        </w:rPr>
        <w:footnoteRef/>
      </w:r>
      <w:r>
        <w:t xml:space="preserve"> </w:t>
      </w:r>
      <w:r>
        <w:tab/>
      </w:r>
      <w:r w:rsidRPr="0024611D">
        <w:t>Halim, A., &amp; Setiawan, R. (2023). The impact of economic indicators on stock market volatility in Indonesia. Journal of Indonesian Economic Studies, 12(1), 45–60.</w:t>
      </w:r>
    </w:p>
  </w:footnote>
  <w:footnote w:id="7">
    <w:p w14:paraId="354271DE" w14:textId="18E5A89D" w:rsidR="0024611D" w:rsidRPr="0024611D" w:rsidRDefault="0024611D" w:rsidP="00555C38">
      <w:pPr>
        <w:pStyle w:val="FootnoteText"/>
        <w:ind w:left="567" w:hanging="567"/>
        <w:jc w:val="both"/>
        <w:rPr>
          <w:lang w:val="en-US"/>
        </w:rPr>
      </w:pPr>
      <w:r>
        <w:rPr>
          <w:rStyle w:val="FootnoteReference"/>
        </w:rPr>
        <w:footnoteRef/>
      </w:r>
      <w:r>
        <w:t xml:space="preserve"> </w:t>
      </w:r>
      <w:r>
        <w:tab/>
      </w:r>
      <w:r w:rsidRPr="0024611D">
        <w:t>Prabowo, D., &amp; Yulianto, R. (2021). Trading volume and its effect on stock price volatility: Evidence from Indonesia. International Journal of Financial Studies, 9(4), 58–75.</w:t>
      </w:r>
    </w:p>
  </w:footnote>
  <w:footnote w:id="8">
    <w:p w14:paraId="48B47378" w14:textId="7C267891" w:rsidR="0024611D" w:rsidRPr="0024611D" w:rsidRDefault="0024611D" w:rsidP="00555C38">
      <w:pPr>
        <w:pStyle w:val="FootnoteText"/>
        <w:ind w:left="567" w:hanging="567"/>
        <w:jc w:val="both"/>
        <w:rPr>
          <w:lang w:val="en-US"/>
        </w:rPr>
      </w:pPr>
      <w:r>
        <w:rPr>
          <w:rStyle w:val="FootnoteReference"/>
        </w:rPr>
        <w:footnoteRef/>
      </w:r>
      <w:r>
        <w:t xml:space="preserve"> </w:t>
      </w:r>
      <w:r>
        <w:tab/>
      </w:r>
      <w:r w:rsidRPr="0024611D">
        <w:t>Rizal, M., &amp; Setiawan, R. (2022). Analyzing stock market liquidity and volatility in Indonesia. Asian Journal of Finance &amp; Accounting, 14(2), 100–115.</w:t>
      </w:r>
    </w:p>
  </w:footnote>
  <w:footnote w:id="9">
    <w:p w14:paraId="3DC15A9E" w14:textId="3DA2C9A6" w:rsidR="0024611D" w:rsidRPr="0024611D" w:rsidRDefault="0024611D" w:rsidP="00555C38">
      <w:pPr>
        <w:pStyle w:val="FootnoteText"/>
        <w:ind w:left="567" w:hanging="567"/>
        <w:jc w:val="both"/>
        <w:rPr>
          <w:lang w:val="en-US"/>
        </w:rPr>
      </w:pPr>
      <w:r>
        <w:rPr>
          <w:rStyle w:val="FootnoteReference"/>
        </w:rPr>
        <w:footnoteRef/>
      </w:r>
      <w:r>
        <w:t xml:space="preserve"> </w:t>
      </w:r>
      <w:r>
        <w:tab/>
      </w:r>
      <w:r w:rsidRPr="0024611D">
        <w:t>Sari, N., &amp; Nugroho, A. (2021). Statistical software for financial data analysis: A comparative study. Journal of Financial Research, 18(2), 120–135.</w:t>
      </w:r>
    </w:p>
  </w:footnote>
  <w:footnote w:id="10">
    <w:p w14:paraId="5797F131" w14:textId="67C234B5" w:rsidR="00FA2BF0" w:rsidRPr="00FA2BF0" w:rsidRDefault="00FA2BF0" w:rsidP="00555C38">
      <w:pPr>
        <w:pStyle w:val="FootnoteText"/>
        <w:ind w:left="567" w:hanging="567"/>
        <w:jc w:val="both"/>
        <w:rPr>
          <w:lang w:val="en-US"/>
        </w:rPr>
      </w:pPr>
      <w:r>
        <w:rPr>
          <w:rStyle w:val="FootnoteReference"/>
        </w:rPr>
        <w:footnoteRef/>
      </w:r>
      <w:r>
        <w:t xml:space="preserve"> </w:t>
      </w:r>
      <w:r>
        <w:tab/>
      </w:r>
      <w:r w:rsidRPr="00FA2BF0">
        <w:t>IDX. (2023). Indonesia Stock Exchange Annual Report 2022. IDX Press.</w:t>
      </w:r>
    </w:p>
  </w:footnote>
  <w:footnote w:id="11">
    <w:p w14:paraId="0E666066" w14:textId="2B464BCD" w:rsidR="00FA2BF0" w:rsidRPr="00FA2BF0" w:rsidRDefault="00FA2BF0" w:rsidP="00555C38">
      <w:pPr>
        <w:pStyle w:val="FootnoteText"/>
        <w:ind w:left="567" w:hanging="567"/>
        <w:jc w:val="both"/>
        <w:rPr>
          <w:lang w:val="en-US"/>
        </w:rPr>
      </w:pPr>
      <w:r>
        <w:rPr>
          <w:rStyle w:val="FootnoteReference"/>
        </w:rPr>
        <w:footnoteRef/>
      </w:r>
      <w:r>
        <w:t xml:space="preserve"> </w:t>
      </w:r>
      <w:r>
        <w:tab/>
      </w:r>
      <w:r w:rsidRPr="00FA2BF0">
        <w:t>Suhartono, D., Prabowo, H., &amp; Widiastuti, E. (2021). Volatility and trading volume: A study of Indonesian stocks. Indonesian Journal of Business and Entrepreneurship, 7(1), 45–59.</w:t>
      </w:r>
    </w:p>
  </w:footnote>
  <w:footnote w:id="12">
    <w:p w14:paraId="1BD38312" w14:textId="442064DC" w:rsidR="00FA2BF0" w:rsidRPr="00FA2BF0" w:rsidRDefault="00FA2BF0" w:rsidP="00555C38">
      <w:pPr>
        <w:pStyle w:val="FootnoteText"/>
        <w:ind w:left="567" w:hanging="567"/>
        <w:jc w:val="both"/>
        <w:rPr>
          <w:lang w:val="en-US"/>
        </w:rPr>
      </w:pPr>
      <w:r>
        <w:rPr>
          <w:rStyle w:val="FootnoteReference"/>
        </w:rPr>
        <w:footnoteRef/>
      </w:r>
      <w:r>
        <w:t xml:space="preserve"> </w:t>
      </w:r>
      <w:r>
        <w:tab/>
      </w:r>
      <w:r w:rsidRPr="00FA2BF0">
        <w:t>Halim, A., &amp; Rahman, F. (2022). Trading volume and volatility: A study of the Indonesian stock market. Indonesian Journal of Finance, 14(2), 115–130.</w:t>
      </w:r>
    </w:p>
  </w:footnote>
  <w:footnote w:id="13">
    <w:p w14:paraId="03FDDAF1" w14:textId="4DEF77D6" w:rsidR="00FA2BF0" w:rsidRPr="00FA2BF0" w:rsidRDefault="00FA2BF0" w:rsidP="00555C38">
      <w:pPr>
        <w:pStyle w:val="FootnoteText"/>
        <w:ind w:left="567" w:hanging="567"/>
        <w:jc w:val="both"/>
        <w:rPr>
          <w:lang w:val="en-US"/>
        </w:rPr>
      </w:pPr>
      <w:r>
        <w:rPr>
          <w:rStyle w:val="FootnoteReference"/>
        </w:rPr>
        <w:footnoteRef/>
      </w:r>
      <w:r>
        <w:t xml:space="preserve"> </w:t>
      </w:r>
      <w:r>
        <w:tab/>
      </w:r>
      <w:r w:rsidRPr="00FA2BF0">
        <w:t>Sari, R., &amp; Widyastuti, A. (2022). Sectoral analysis of trading volume and stock price volatility in Indonesia. Journal of Business and Economic Research, 20(4), 234–245.</w:t>
      </w:r>
    </w:p>
  </w:footnote>
  <w:footnote w:id="14">
    <w:p w14:paraId="4DD4D24D" w14:textId="0F381B39" w:rsidR="00FA2BF0" w:rsidRPr="00FA2BF0" w:rsidRDefault="00FA2BF0" w:rsidP="00555C38">
      <w:pPr>
        <w:pStyle w:val="FootnoteText"/>
        <w:ind w:left="567" w:hanging="567"/>
        <w:jc w:val="both"/>
        <w:rPr>
          <w:lang w:val="en-US"/>
        </w:rPr>
      </w:pPr>
      <w:r>
        <w:rPr>
          <w:rStyle w:val="FootnoteReference"/>
        </w:rPr>
        <w:footnoteRef/>
      </w:r>
      <w:r>
        <w:t xml:space="preserve"> </w:t>
      </w:r>
      <w:r>
        <w:tab/>
      </w:r>
      <w:r w:rsidRPr="00FA2BF0">
        <w:t>Nugroho, A., &amp; Santoso, H. (2021). Market capitalization and stock volatility: Evidence from Indonesia. Asian Economic and Financial Review, 11(5), 543–558.</w:t>
      </w:r>
    </w:p>
  </w:footnote>
  <w:footnote w:id="15">
    <w:p w14:paraId="4AE0DDF8" w14:textId="5E111054" w:rsidR="00FA2BF0" w:rsidRPr="00FA2BF0" w:rsidRDefault="00FA2BF0" w:rsidP="00555C38">
      <w:pPr>
        <w:pStyle w:val="FootnoteText"/>
        <w:ind w:left="567" w:hanging="567"/>
        <w:jc w:val="both"/>
        <w:rPr>
          <w:lang w:val="en-US"/>
        </w:rPr>
      </w:pPr>
      <w:r>
        <w:rPr>
          <w:rStyle w:val="FootnoteReference"/>
        </w:rPr>
        <w:footnoteRef/>
      </w:r>
      <w:r>
        <w:t xml:space="preserve"> </w:t>
      </w:r>
      <w:r>
        <w:tab/>
      </w:r>
      <w:r w:rsidR="001A1292" w:rsidRPr="001A1292">
        <w:t>Mauliansyah, H. (2024). Pengaruh Ukuran Perusahaan, Profitabilitas Dan Likuiditas Terhadap Kebijakan Dividen Pada Perusahaan Sub Sektor Food and Beverage yang Terdaftar Di Bursa Efek Indonesia Periode 2021-2022. BE-HISZ, 1(2).</w:t>
      </w:r>
    </w:p>
  </w:footnote>
  <w:footnote w:id="16">
    <w:p w14:paraId="751017EE" w14:textId="07948F2E" w:rsidR="00FA2BF0" w:rsidRPr="00FA2BF0" w:rsidRDefault="00FA2BF0" w:rsidP="00555C38">
      <w:pPr>
        <w:pStyle w:val="FootnoteText"/>
        <w:ind w:left="567" w:hanging="567"/>
        <w:jc w:val="both"/>
        <w:rPr>
          <w:lang w:val="en-US"/>
        </w:rPr>
      </w:pPr>
      <w:r>
        <w:rPr>
          <w:rStyle w:val="FootnoteReference"/>
        </w:rPr>
        <w:footnoteRef/>
      </w:r>
      <w:r>
        <w:t xml:space="preserve"> </w:t>
      </w:r>
      <w:r>
        <w:tab/>
      </w:r>
      <w:r w:rsidRPr="00FA2BF0">
        <w:t>Setiawan, B., &amp; Lestari, R. (2021). Anomalies in stock price movements: Evidence from the Indonesian market. Journal of Financial Markets, 24(2), 78–92.</w:t>
      </w:r>
    </w:p>
  </w:footnote>
  <w:footnote w:id="17">
    <w:p w14:paraId="0AAA757D" w14:textId="35CD9937" w:rsidR="00FA2BF0" w:rsidRPr="00FA2BF0" w:rsidRDefault="00FA2BF0" w:rsidP="00555C38">
      <w:pPr>
        <w:pStyle w:val="FootnoteText"/>
        <w:ind w:left="567" w:hanging="567"/>
        <w:jc w:val="both"/>
        <w:rPr>
          <w:lang w:val="en-US"/>
        </w:rPr>
      </w:pPr>
      <w:r>
        <w:rPr>
          <w:rStyle w:val="FootnoteReference"/>
        </w:rPr>
        <w:footnoteRef/>
      </w:r>
      <w:r>
        <w:t xml:space="preserve"> </w:t>
      </w:r>
      <w:r>
        <w:tab/>
      </w:r>
      <w:r w:rsidRPr="00FA2BF0">
        <w:t>Chong, J., Lim, K., &amp; Wong, L. (2021). The impact of trading volume on stock price volatility: Evidence from emerging markets. Journal of Economic Studies, 48(3), 643–658.</w:t>
      </w:r>
    </w:p>
  </w:footnote>
  <w:footnote w:id="18">
    <w:p w14:paraId="42AC25CD" w14:textId="51C8E8A5" w:rsidR="00651A63" w:rsidRPr="00651A63" w:rsidRDefault="00651A63" w:rsidP="00555C38">
      <w:pPr>
        <w:pStyle w:val="FootnoteText"/>
        <w:ind w:left="567" w:hanging="567"/>
        <w:jc w:val="both"/>
        <w:rPr>
          <w:lang w:val="en-US"/>
        </w:rPr>
      </w:pPr>
      <w:r>
        <w:rPr>
          <w:rStyle w:val="FootnoteReference"/>
        </w:rPr>
        <w:footnoteRef/>
      </w:r>
      <w:r>
        <w:t xml:space="preserve"> </w:t>
      </w:r>
      <w:r>
        <w:tab/>
      </w:r>
      <w:r w:rsidRPr="00651A63">
        <w:t>Prabowo, H., &amp; Sari, R. (2021). The impact of trading volume on stock price volatility: Evidence from Indonesia. Asian Journal of Finance &amp; Accounting, 13(2), 75–89.</w:t>
      </w:r>
    </w:p>
  </w:footnote>
  <w:footnote w:id="19">
    <w:p w14:paraId="4DEA20D5" w14:textId="7BF752CD" w:rsidR="00651A63" w:rsidRPr="00651A63" w:rsidRDefault="00651A63" w:rsidP="00555C38">
      <w:pPr>
        <w:pStyle w:val="FootnoteText"/>
        <w:ind w:left="567" w:hanging="567"/>
        <w:jc w:val="both"/>
        <w:rPr>
          <w:lang w:val="en-US"/>
        </w:rPr>
      </w:pPr>
      <w:r>
        <w:rPr>
          <w:rStyle w:val="FootnoteReference"/>
        </w:rPr>
        <w:footnoteRef/>
      </w:r>
      <w:r>
        <w:t xml:space="preserve"> </w:t>
      </w:r>
      <w:r>
        <w:tab/>
      </w:r>
      <w:r w:rsidRPr="00651A63">
        <w:t>Otoritas Jasa Keuangan. (2022). Market report: Impact of COVID-19 on Indonesian capital market. OJK. https://ojk.go.id</w:t>
      </w:r>
    </w:p>
  </w:footnote>
  <w:footnote w:id="20">
    <w:p w14:paraId="1FCBA39A" w14:textId="722CF4AF" w:rsidR="00651A63" w:rsidRPr="00651A63" w:rsidRDefault="00651A63" w:rsidP="00555C38">
      <w:pPr>
        <w:pStyle w:val="FootnoteText"/>
        <w:ind w:left="567" w:hanging="567"/>
        <w:jc w:val="both"/>
        <w:rPr>
          <w:lang w:val="en-US"/>
        </w:rPr>
      </w:pPr>
      <w:r>
        <w:rPr>
          <w:rStyle w:val="FootnoteReference"/>
        </w:rPr>
        <w:footnoteRef/>
      </w:r>
      <w:r>
        <w:t xml:space="preserve"> </w:t>
      </w:r>
      <w:r>
        <w:tab/>
      </w:r>
      <w:r w:rsidRPr="00651A63">
        <w:t>Budiarto, A. (2021). Sectoral analysis of stock price volatility in Indonesia. Journal of Indonesian Capital Market Studies, 9(1), 45–60.</w:t>
      </w:r>
    </w:p>
  </w:footnote>
  <w:footnote w:id="21">
    <w:p w14:paraId="2AE5BD56" w14:textId="0555ED2A" w:rsidR="00651A63" w:rsidRPr="00651A63" w:rsidRDefault="00651A63" w:rsidP="00555C38">
      <w:pPr>
        <w:pStyle w:val="FootnoteText"/>
        <w:ind w:left="567" w:hanging="567"/>
        <w:jc w:val="both"/>
        <w:rPr>
          <w:lang w:val="en-US"/>
        </w:rPr>
      </w:pPr>
      <w:r>
        <w:rPr>
          <w:rStyle w:val="FootnoteReference"/>
        </w:rPr>
        <w:footnoteRef/>
      </w:r>
      <w:r>
        <w:t xml:space="preserve"> </w:t>
      </w:r>
      <w:r>
        <w:tab/>
      </w:r>
      <w:r w:rsidRPr="00651A63">
        <w:t>Santoso, B., Nugroho, A., &amp; Lestari, D. (2022). Institutional investors and market volatility: An empirical study of the Indonesian stock exchange. International Journal of Financial Studies, 10(3), 112–130</w:t>
      </w:r>
    </w:p>
  </w:footnote>
  <w:footnote w:id="22">
    <w:p w14:paraId="36653758" w14:textId="0FA019CF" w:rsidR="001A1292" w:rsidRPr="001A1292" w:rsidRDefault="001A1292" w:rsidP="001A1292">
      <w:pPr>
        <w:pStyle w:val="FootnoteText"/>
        <w:ind w:left="567" w:hanging="567"/>
        <w:jc w:val="both"/>
        <w:rPr>
          <w:lang w:val="en-US"/>
        </w:rPr>
      </w:pPr>
      <w:r>
        <w:rPr>
          <w:rStyle w:val="FootnoteReference"/>
        </w:rPr>
        <w:footnoteRef/>
      </w:r>
      <w:r>
        <w:t xml:space="preserve"> </w:t>
      </w:r>
      <w:r>
        <w:tab/>
      </w:r>
      <w:r w:rsidRPr="001A1292">
        <w:t xml:space="preserve">Mauliansyah, H., Anam, B. S., &amp; Umar, Z. (2024). </w:t>
      </w:r>
      <w:r w:rsidRPr="001A1292">
        <w:t>pengaruh karakteristik ceo, komisaris independen dan kualitas audit terhadap penghindaran pajak pada perusahaan otomotif dan komponen yang terdaftar di bursa efek indonesia periode 2016-2020. be-hisz,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7A391" w14:textId="3ABB62B3" w:rsidR="00DB5FB2" w:rsidRPr="00DB5FB2" w:rsidRDefault="00DB5FB2">
    <w:pPr>
      <w:pStyle w:val="Header"/>
      <w:rPr>
        <w:color w:val="404040" w:themeColor="text1" w:themeTint="BF"/>
        <w:sz w:val="20"/>
        <w:szCs w:val="20"/>
      </w:rPr>
    </w:pPr>
    <w:r w:rsidRPr="00086A47">
      <w:rPr>
        <w:color w:val="404040" w:themeColor="text1" w:themeTint="BF"/>
        <w:sz w:val="20"/>
        <w:szCs w:val="20"/>
      </w:rPr>
      <w:t xml:space="preserve">GREAT, Vol 1, No. </w:t>
    </w:r>
    <w:r>
      <w:rPr>
        <w:color w:val="404040" w:themeColor="text1" w:themeTint="BF"/>
        <w:sz w:val="20"/>
        <w:szCs w:val="20"/>
      </w:rPr>
      <w:t>2</w:t>
    </w:r>
    <w:r w:rsidRPr="00086A47">
      <w:rPr>
        <w:color w:val="404040" w:themeColor="text1" w:themeTint="BF"/>
        <w:sz w:val="20"/>
        <w:szCs w:val="20"/>
      </w:rPr>
      <w:t>, 202</w:t>
    </w:r>
    <w:r>
      <w:rPr>
        <w:color w:val="404040" w:themeColor="text1" w:themeTint="BF"/>
        <w:sz w:val="20"/>
        <w:szCs w:val="20"/>
      </w:rPr>
      <w:t>4</w:t>
    </w:r>
    <w:r w:rsidRPr="00086A47">
      <w:rPr>
        <w:color w:val="404040" w:themeColor="text1" w:themeTint="BF"/>
        <w:sz w:val="20"/>
        <w:szCs w:val="20"/>
      </w:rPr>
      <w:t xml:space="preserve"> </w:t>
    </w:r>
    <w:r w:rsidRPr="00086A47">
      <w:rPr>
        <w:color w:val="404040" w:themeColor="text1" w:themeTint="BF"/>
        <w:sz w:val="20"/>
        <w:szCs w:val="20"/>
      </w:rPr>
      <w:tab/>
    </w:r>
    <w:r w:rsidRPr="00086A47">
      <w:rPr>
        <w:color w:val="404040" w:themeColor="text1" w:themeTint="BF"/>
        <w:sz w:val="20"/>
        <w:szCs w:val="20"/>
      </w:rPr>
      <w:tab/>
      <w:t>https://greet-research.org/index.php/Great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DB7DB" w14:textId="77777777" w:rsidR="00DB5FB2" w:rsidRPr="00086A47" w:rsidRDefault="00DB5FB2" w:rsidP="00DB5FB2">
    <w:pPr>
      <w:pStyle w:val="Header"/>
      <w:rPr>
        <w:color w:val="404040" w:themeColor="text1" w:themeTint="BF"/>
        <w:sz w:val="20"/>
        <w:szCs w:val="20"/>
      </w:rPr>
    </w:pPr>
    <w:r w:rsidRPr="00086A47">
      <w:rPr>
        <w:color w:val="404040" w:themeColor="text1" w:themeTint="BF"/>
        <w:sz w:val="20"/>
        <w:szCs w:val="20"/>
      </w:rPr>
      <w:t xml:space="preserve">GREAT, Vol 1, No. </w:t>
    </w:r>
    <w:r>
      <w:rPr>
        <w:color w:val="404040" w:themeColor="text1" w:themeTint="BF"/>
        <w:sz w:val="20"/>
        <w:szCs w:val="20"/>
      </w:rPr>
      <w:t>2</w:t>
    </w:r>
    <w:r w:rsidRPr="00086A47">
      <w:rPr>
        <w:color w:val="404040" w:themeColor="text1" w:themeTint="BF"/>
        <w:sz w:val="20"/>
        <w:szCs w:val="20"/>
      </w:rPr>
      <w:t>, 202</w:t>
    </w:r>
    <w:r>
      <w:rPr>
        <w:color w:val="404040" w:themeColor="text1" w:themeTint="BF"/>
        <w:sz w:val="20"/>
        <w:szCs w:val="20"/>
      </w:rPr>
      <w:t>4</w:t>
    </w:r>
    <w:r w:rsidRPr="00086A47">
      <w:rPr>
        <w:color w:val="404040" w:themeColor="text1" w:themeTint="BF"/>
        <w:sz w:val="20"/>
        <w:szCs w:val="20"/>
      </w:rPr>
      <w:t xml:space="preserve"> </w:t>
    </w:r>
    <w:r w:rsidRPr="00086A47">
      <w:rPr>
        <w:color w:val="404040" w:themeColor="text1" w:themeTint="BF"/>
        <w:sz w:val="20"/>
        <w:szCs w:val="20"/>
      </w:rPr>
      <w:tab/>
    </w:r>
    <w:r w:rsidRPr="00086A47">
      <w:rPr>
        <w:color w:val="404040" w:themeColor="text1" w:themeTint="BF"/>
        <w:sz w:val="20"/>
        <w:szCs w:val="20"/>
      </w:rPr>
      <w:tab/>
      <w:t>https://greet-research.org/index.php/Great</w:t>
    </w:r>
  </w:p>
  <w:p w14:paraId="5237CF19" w14:textId="77777777" w:rsidR="00DB5FB2" w:rsidRDefault="00DB5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0D31"/>
    <w:multiLevelType w:val="multilevel"/>
    <w:tmpl w:val="091A7E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1D"/>
    <w:rsid w:val="000D653B"/>
    <w:rsid w:val="001A1292"/>
    <w:rsid w:val="001B2B6C"/>
    <w:rsid w:val="001C19E3"/>
    <w:rsid w:val="0024611D"/>
    <w:rsid w:val="002E79A7"/>
    <w:rsid w:val="005248F8"/>
    <w:rsid w:val="00555C38"/>
    <w:rsid w:val="00651A63"/>
    <w:rsid w:val="00793339"/>
    <w:rsid w:val="007F3597"/>
    <w:rsid w:val="008306D4"/>
    <w:rsid w:val="0084596C"/>
    <w:rsid w:val="00850207"/>
    <w:rsid w:val="008A230D"/>
    <w:rsid w:val="00927F4B"/>
    <w:rsid w:val="00AC3FBB"/>
    <w:rsid w:val="00AD0041"/>
    <w:rsid w:val="00AD6CF1"/>
    <w:rsid w:val="00AE136D"/>
    <w:rsid w:val="00B260BC"/>
    <w:rsid w:val="00B96D4C"/>
    <w:rsid w:val="00D16177"/>
    <w:rsid w:val="00DB5FB2"/>
    <w:rsid w:val="00FA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DF6"/>
  <w15:chartTrackingRefBased/>
  <w15:docId w15:val="{69539C74-0726-4BA3-AAC4-FC7C5902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1D"/>
    <w:pPr>
      <w:spacing w:after="160" w:line="259" w:lineRule="auto"/>
    </w:pPr>
    <w:rPr>
      <w:rFonts w:ascii="Calibri" w:eastAsia="Calibri" w:hAnsi="Calibri" w:cs="Calibri"/>
      <w:sz w:val="22"/>
      <w:szCs w:val="22"/>
      <w:lang w:val="en-GB" w:eastAsia="en-ID"/>
    </w:rPr>
  </w:style>
  <w:style w:type="paragraph" w:styleId="Heading1">
    <w:name w:val="heading 1"/>
    <w:basedOn w:val="Normal"/>
    <w:next w:val="Normal"/>
    <w:link w:val="Heading1Char"/>
    <w:uiPriority w:val="9"/>
    <w:qFormat/>
    <w:rsid w:val="00AE136D"/>
    <w:pPr>
      <w:keepNext/>
      <w:numPr>
        <w:numId w:val="9"/>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AE136D"/>
    <w:pPr>
      <w:keepNext/>
      <w:numPr>
        <w:ilvl w:val="1"/>
        <w:numId w:val="9"/>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AE136D"/>
    <w:pPr>
      <w:keepNext/>
      <w:numPr>
        <w:ilvl w:val="2"/>
        <w:numId w:val="9"/>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AE136D"/>
    <w:pPr>
      <w:keepNext/>
      <w:numPr>
        <w:ilvl w:val="3"/>
        <w:numId w:val="9"/>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AE136D"/>
    <w:pPr>
      <w:numPr>
        <w:ilvl w:val="4"/>
        <w:numId w:val="9"/>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AE136D"/>
    <w:pPr>
      <w:numPr>
        <w:ilvl w:val="5"/>
        <w:numId w:val="9"/>
      </w:num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AE136D"/>
    <w:pPr>
      <w:numPr>
        <w:ilvl w:val="6"/>
        <w:numId w:val="9"/>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AE136D"/>
    <w:pPr>
      <w:numPr>
        <w:ilvl w:val="7"/>
        <w:numId w:val="9"/>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AE136D"/>
    <w:pPr>
      <w:numPr>
        <w:ilvl w:val="8"/>
        <w:numId w:val="9"/>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6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136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E136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E136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E136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AE136D"/>
    <w:rPr>
      <w:b/>
      <w:bCs/>
      <w:sz w:val="22"/>
      <w:szCs w:val="22"/>
    </w:rPr>
  </w:style>
  <w:style w:type="character" w:customStyle="1" w:styleId="Heading7Char">
    <w:name w:val="Heading 7 Char"/>
    <w:basedOn w:val="DefaultParagraphFont"/>
    <w:link w:val="Heading7"/>
    <w:uiPriority w:val="9"/>
    <w:semiHidden/>
    <w:rsid w:val="00AE136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E136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E136D"/>
    <w:rPr>
      <w:rFonts w:asciiTheme="majorHAnsi" w:eastAsiaTheme="majorEastAsia" w:hAnsiTheme="majorHAnsi" w:cstheme="majorBidi"/>
      <w:sz w:val="22"/>
      <w:szCs w:val="22"/>
    </w:rPr>
  </w:style>
  <w:style w:type="paragraph" w:styleId="Title">
    <w:name w:val="Title"/>
    <w:basedOn w:val="Normal"/>
    <w:link w:val="TitleChar"/>
    <w:uiPriority w:val="10"/>
    <w:qFormat/>
    <w:rsid w:val="00AE136D"/>
    <w:pPr>
      <w:spacing w:after="0" w:line="240" w:lineRule="auto"/>
      <w:jc w:val="center"/>
    </w:pPr>
    <w:rPr>
      <w:rFonts w:ascii="Univers" w:eastAsia="Times New Roman" w:hAnsi="Univers" w:cs="Times New Roman"/>
      <w:b/>
      <w:sz w:val="24"/>
      <w:szCs w:val="24"/>
      <w:lang w:val="de-DE" w:eastAsia="en-US"/>
    </w:rPr>
  </w:style>
  <w:style w:type="character" w:customStyle="1" w:styleId="TitleChar">
    <w:name w:val="Title Char"/>
    <w:basedOn w:val="DefaultParagraphFont"/>
    <w:link w:val="Title"/>
    <w:uiPriority w:val="10"/>
    <w:rsid w:val="00AE136D"/>
    <w:rPr>
      <w:rFonts w:ascii="Univers" w:hAnsi="Univers"/>
      <w:b/>
      <w:sz w:val="24"/>
      <w:lang w:val="de-DE"/>
    </w:rPr>
  </w:style>
  <w:style w:type="paragraph" w:styleId="Subtitle">
    <w:name w:val="Subtitle"/>
    <w:basedOn w:val="Normal"/>
    <w:next w:val="Normal"/>
    <w:link w:val="SubtitleChar"/>
    <w:uiPriority w:val="11"/>
    <w:qFormat/>
    <w:rsid w:val="00AE136D"/>
    <w:pPr>
      <w:numPr>
        <w:ilvl w:val="1"/>
      </w:numPr>
    </w:pPr>
    <w:rPr>
      <w:rFonts w:asciiTheme="minorHAnsi" w:eastAsiaTheme="minorEastAsia" w:hAnsiTheme="minorHAnsi" w:cs="Times New Roman"/>
      <w:color w:val="5A5A5A" w:themeColor="text1" w:themeTint="A5"/>
      <w:spacing w:val="15"/>
      <w:lang w:val="en-US" w:eastAsia="en-US"/>
    </w:rPr>
  </w:style>
  <w:style w:type="character" w:customStyle="1" w:styleId="SubtitleChar">
    <w:name w:val="Subtitle Char"/>
    <w:basedOn w:val="DefaultParagraphFont"/>
    <w:link w:val="Subtitle"/>
    <w:uiPriority w:val="11"/>
    <w:rsid w:val="00AE136D"/>
    <w:rPr>
      <w:rFonts w:asciiTheme="minorHAnsi" w:eastAsiaTheme="minorEastAsia" w:hAnsiTheme="minorHAnsi"/>
      <w:color w:val="5A5A5A" w:themeColor="text1" w:themeTint="A5"/>
      <w:spacing w:val="15"/>
      <w:sz w:val="22"/>
      <w:szCs w:val="22"/>
    </w:rPr>
  </w:style>
  <w:style w:type="paragraph" w:styleId="ListParagraph">
    <w:name w:val="List Paragraph"/>
    <w:basedOn w:val="Normal"/>
    <w:uiPriority w:val="34"/>
    <w:qFormat/>
    <w:rsid w:val="00AE136D"/>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FootnoteReference">
    <w:name w:val="footnote reference"/>
    <w:qFormat/>
    <w:rsid w:val="0024611D"/>
    <w:rPr>
      <w:w w:val="100"/>
      <w:position w:val="-1"/>
      <w:effect w:val="none"/>
      <w:vertAlign w:val="superscript"/>
      <w:cs w:val="0"/>
      <w:em w:val="none"/>
    </w:rPr>
  </w:style>
  <w:style w:type="paragraph" w:styleId="FootnoteText">
    <w:name w:val="footnote text"/>
    <w:basedOn w:val="Normal"/>
    <w:link w:val="FootnoteTextChar"/>
    <w:uiPriority w:val="99"/>
    <w:semiHidden/>
    <w:unhideWhenUsed/>
    <w:rsid w:val="00246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11D"/>
    <w:rPr>
      <w:rFonts w:ascii="Calibri" w:eastAsia="Calibri" w:hAnsi="Calibri" w:cs="Calibri"/>
      <w:lang w:val="en-GB" w:eastAsia="en-ID"/>
    </w:rPr>
  </w:style>
  <w:style w:type="paragraph" w:styleId="NormalWeb">
    <w:name w:val="Normal (Web)"/>
    <w:basedOn w:val="Normal"/>
    <w:uiPriority w:val="99"/>
    <w:unhideWhenUsed/>
    <w:rsid w:val="0024611D"/>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Emphasis">
    <w:name w:val="Emphasis"/>
    <w:basedOn w:val="DefaultParagraphFont"/>
    <w:uiPriority w:val="20"/>
    <w:qFormat/>
    <w:rsid w:val="0024611D"/>
    <w:rPr>
      <w:i/>
      <w:iCs/>
    </w:rPr>
  </w:style>
  <w:style w:type="character" w:styleId="Hyperlink">
    <w:name w:val="Hyperlink"/>
    <w:basedOn w:val="DefaultParagraphFont"/>
    <w:uiPriority w:val="99"/>
    <w:semiHidden/>
    <w:unhideWhenUsed/>
    <w:rsid w:val="0024611D"/>
    <w:rPr>
      <w:color w:val="0000FF"/>
      <w:u w:val="single"/>
    </w:rPr>
  </w:style>
  <w:style w:type="character" w:styleId="PlaceholderText">
    <w:name w:val="Placeholder Text"/>
    <w:basedOn w:val="DefaultParagraphFont"/>
    <w:uiPriority w:val="99"/>
    <w:semiHidden/>
    <w:rsid w:val="00850207"/>
    <w:rPr>
      <w:color w:val="808080"/>
    </w:rPr>
  </w:style>
  <w:style w:type="paragraph" w:styleId="Header">
    <w:name w:val="header"/>
    <w:basedOn w:val="Normal"/>
    <w:link w:val="HeaderChar"/>
    <w:uiPriority w:val="99"/>
    <w:unhideWhenUsed/>
    <w:rsid w:val="00DB5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FB2"/>
    <w:rPr>
      <w:rFonts w:ascii="Calibri" w:eastAsia="Calibri" w:hAnsi="Calibri" w:cs="Calibri"/>
      <w:sz w:val="22"/>
      <w:szCs w:val="22"/>
      <w:lang w:val="en-GB" w:eastAsia="en-ID"/>
    </w:rPr>
  </w:style>
  <w:style w:type="paragraph" w:styleId="Footer">
    <w:name w:val="footer"/>
    <w:basedOn w:val="Normal"/>
    <w:link w:val="FooterChar"/>
    <w:uiPriority w:val="99"/>
    <w:unhideWhenUsed/>
    <w:rsid w:val="00DB5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FB2"/>
    <w:rPr>
      <w:rFonts w:ascii="Calibri" w:eastAsia="Calibri" w:hAnsi="Calibri" w:cs="Calibri"/>
      <w:sz w:val="22"/>
      <w:szCs w:val="22"/>
      <w:lang w:val="en-GB"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63740">
      <w:bodyDiv w:val="1"/>
      <w:marLeft w:val="0"/>
      <w:marRight w:val="0"/>
      <w:marTop w:val="0"/>
      <w:marBottom w:val="0"/>
      <w:divBdr>
        <w:top w:val="none" w:sz="0" w:space="0" w:color="auto"/>
        <w:left w:val="none" w:sz="0" w:space="0" w:color="auto"/>
        <w:bottom w:val="none" w:sz="0" w:space="0" w:color="auto"/>
        <w:right w:val="none" w:sz="0" w:space="0" w:color="auto"/>
      </w:divBdr>
    </w:div>
    <w:div w:id="215628140">
      <w:bodyDiv w:val="1"/>
      <w:marLeft w:val="0"/>
      <w:marRight w:val="0"/>
      <w:marTop w:val="0"/>
      <w:marBottom w:val="0"/>
      <w:divBdr>
        <w:top w:val="none" w:sz="0" w:space="0" w:color="auto"/>
        <w:left w:val="none" w:sz="0" w:space="0" w:color="auto"/>
        <w:bottom w:val="none" w:sz="0" w:space="0" w:color="auto"/>
        <w:right w:val="none" w:sz="0" w:space="0" w:color="auto"/>
      </w:divBdr>
    </w:div>
    <w:div w:id="392853048">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
    <w:div w:id="420489413">
      <w:bodyDiv w:val="1"/>
      <w:marLeft w:val="0"/>
      <w:marRight w:val="0"/>
      <w:marTop w:val="0"/>
      <w:marBottom w:val="0"/>
      <w:divBdr>
        <w:top w:val="none" w:sz="0" w:space="0" w:color="auto"/>
        <w:left w:val="none" w:sz="0" w:space="0" w:color="auto"/>
        <w:bottom w:val="none" w:sz="0" w:space="0" w:color="auto"/>
        <w:right w:val="none" w:sz="0" w:space="0" w:color="auto"/>
      </w:divBdr>
    </w:div>
    <w:div w:id="442648672">
      <w:bodyDiv w:val="1"/>
      <w:marLeft w:val="0"/>
      <w:marRight w:val="0"/>
      <w:marTop w:val="0"/>
      <w:marBottom w:val="0"/>
      <w:divBdr>
        <w:top w:val="none" w:sz="0" w:space="0" w:color="auto"/>
        <w:left w:val="none" w:sz="0" w:space="0" w:color="auto"/>
        <w:bottom w:val="none" w:sz="0" w:space="0" w:color="auto"/>
        <w:right w:val="none" w:sz="0" w:space="0" w:color="auto"/>
      </w:divBdr>
    </w:div>
    <w:div w:id="452139137">
      <w:bodyDiv w:val="1"/>
      <w:marLeft w:val="0"/>
      <w:marRight w:val="0"/>
      <w:marTop w:val="0"/>
      <w:marBottom w:val="0"/>
      <w:divBdr>
        <w:top w:val="none" w:sz="0" w:space="0" w:color="auto"/>
        <w:left w:val="none" w:sz="0" w:space="0" w:color="auto"/>
        <w:bottom w:val="none" w:sz="0" w:space="0" w:color="auto"/>
        <w:right w:val="none" w:sz="0" w:space="0" w:color="auto"/>
      </w:divBdr>
    </w:div>
    <w:div w:id="468405744">
      <w:bodyDiv w:val="1"/>
      <w:marLeft w:val="0"/>
      <w:marRight w:val="0"/>
      <w:marTop w:val="0"/>
      <w:marBottom w:val="0"/>
      <w:divBdr>
        <w:top w:val="none" w:sz="0" w:space="0" w:color="auto"/>
        <w:left w:val="none" w:sz="0" w:space="0" w:color="auto"/>
        <w:bottom w:val="none" w:sz="0" w:space="0" w:color="auto"/>
        <w:right w:val="none" w:sz="0" w:space="0" w:color="auto"/>
      </w:divBdr>
    </w:div>
    <w:div w:id="606734930">
      <w:bodyDiv w:val="1"/>
      <w:marLeft w:val="0"/>
      <w:marRight w:val="0"/>
      <w:marTop w:val="0"/>
      <w:marBottom w:val="0"/>
      <w:divBdr>
        <w:top w:val="none" w:sz="0" w:space="0" w:color="auto"/>
        <w:left w:val="none" w:sz="0" w:space="0" w:color="auto"/>
        <w:bottom w:val="none" w:sz="0" w:space="0" w:color="auto"/>
        <w:right w:val="none" w:sz="0" w:space="0" w:color="auto"/>
      </w:divBdr>
    </w:div>
    <w:div w:id="866798982">
      <w:bodyDiv w:val="1"/>
      <w:marLeft w:val="0"/>
      <w:marRight w:val="0"/>
      <w:marTop w:val="0"/>
      <w:marBottom w:val="0"/>
      <w:divBdr>
        <w:top w:val="none" w:sz="0" w:space="0" w:color="auto"/>
        <w:left w:val="none" w:sz="0" w:space="0" w:color="auto"/>
        <w:bottom w:val="none" w:sz="0" w:space="0" w:color="auto"/>
        <w:right w:val="none" w:sz="0" w:space="0" w:color="auto"/>
      </w:divBdr>
    </w:div>
    <w:div w:id="1197767853">
      <w:bodyDiv w:val="1"/>
      <w:marLeft w:val="0"/>
      <w:marRight w:val="0"/>
      <w:marTop w:val="0"/>
      <w:marBottom w:val="0"/>
      <w:divBdr>
        <w:top w:val="none" w:sz="0" w:space="0" w:color="auto"/>
        <w:left w:val="none" w:sz="0" w:space="0" w:color="auto"/>
        <w:bottom w:val="none" w:sz="0" w:space="0" w:color="auto"/>
        <w:right w:val="none" w:sz="0" w:space="0" w:color="auto"/>
      </w:divBdr>
    </w:div>
    <w:div w:id="1211461415">
      <w:bodyDiv w:val="1"/>
      <w:marLeft w:val="0"/>
      <w:marRight w:val="0"/>
      <w:marTop w:val="0"/>
      <w:marBottom w:val="0"/>
      <w:divBdr>
        <w:top w:val="none" w:sz="0" w:space="0" w:color="auto"/>
        <w:left w:val="none" w:sz="0" w:space="0" w:color="auto"/>
        <w:bottom w:val="none" w:sz="0" w:space="0" w:color="auto"/>
        <w:right w:val="none" w:sz="0" w:space="0" w:color="auto"/>
      </w:divBdr>
    </w:div>
    <w:div w:id="1294100537">
      <w:bodyDiv w:val="1"/>
      <w:marLeft w:val="0"/>
      <w:marRight w:val="0"/>
      <w:marTop w:val="0"/>
      <w:marBottom w:val="0"/>
      <w:divBdr>
        <w:top w:val="none" w:sz="0" w:space="0" w:color="auto"/>
        <w:left w:val="none" w:sz="0" w:space="0" w:color="auto"/>
        <w:bottom w:val="none" w:sz="0" w:space="0" w:color="auto"/>
        <w:right w:val="none" w:sz="0" w:space="0" w:color="auto"/>
      </w:divBdr>
      <w:divsChild>
        <w:div w:id="306011832">
          <w:marLeft w:val="480"/>
          <w:marRight w:val="0"/>
          <w:marTop w:val="0"/>
          <w:marBottom w:val="0"/>
          <w:divBdr>
            <w:top w:val="none" w:sz="0" w:space="0" w:color="auto"/>
            <w:left w:val="none" w:sz="0" w:space="0" w:color="auto"/>
            <w:bottom w:val="none" w:sz="0" w:space="0" w:color="auto"/>
            <w:right w:val="none" w:sz="0" w:space="0" w:color="auto"/>
          </w:divBdr>
        </w:div>
        <w:div w:id="1869564822">
          <w:marLeft w:val="480"/>
          <w:marRight w:val="0"/>
          <w:marTop w:val="0"/>
          <w:marBottom w:val="0"/>
          <w:divBdr>
            <w:top w:val="none" w:sz="0" w:space="0" w:color="auto"/>
            <w:left w:val="none" w:sz="0" w:space="0" w:color="auto"/>
            <w:bottom w:val="none" w:sz="0" w:space="0" w:color="auto"/>
            <w:right w:val="none" w:sz="0" w:space="0" w:color="auto"/>
          </w:divBdr>
        </w:div>
      </w:divsChild>
    </w:div>
    <w:div w:id="1333265692">
      <w:bodyDiv w:val="1"/>
      <w:marLeft w:val="0"/>
      <w:marRight w:val="0"/>
      <w:marTop w:val="0"/>
      <w:marBottom w:val="0"/>
      <w:divBdr>
        <w:top w:val="none" w:sz="0" w:space="0" w:color="auto"/>
        <w:left w:val="none" w:sz="0" w:space="0" w:color="auto"/>
        <w:bottom w:val="none" w:sz="0" w:space="0" w:color="auto"/>
        <w:right w:val="none" w:sz="0" w:space="0" w:color="auto"/>
      </w:divBdr>
    </w:div>
    <w:div w:id="1461266893">
      <w:bodyDiv w:val="1"/>
      <w:marLeft w:val="0"/>
      <w:marRight w:val="0"/>
      <w:marTop w:val="0"/>
      <w:marBottom w:val="0"/>
      <w:divBdr>
        <w:top w:val="none" w:sz="0" w:space="0" w:color="auto"/>
        <w:left w:val="none" w:sz="0" w:space="0" w:color="auto"/>
        <w:bottom w:val="none" w:sz="0" w:space="0" w:color="auto"/>
        <w:right w:val="none" w:sz="0" w:space="0" w:color="auto"/>
      </w:divBdr>
    </w:div>
    <w:div w:id="1490513523">
      <w:bodyDiv w:val="1"/>
      <w:marLeft w:val="0"/>
      <w:marRight w:val="0"/>
      <w:marTop w:val="0"/>
      <w:marBottom w:val="0"/>
      <w:divBdr>
        <w:top w:val="none" w:sz="0" w:space="0" w:color="auto"/>
        <w:left w:val="none" w:sz="0" w:space="0" w:color="auto"/>
        <w:bottom w:val="none" w:sz="0" w:space="0" w:color="auto"/>
        <w:right w:val="none" w:sz="0" w:space="0" w:color="auto"/>
      </w:divBdr>
    </w:div>
    <w:div w:id="1551916586">
      <w:bodyDiv w:val="1"/>
      <w:marLeft w:val="0"/>
      <w:marRight w:val="0"/>
      <w:marTop w:val="0"/>
      <w:marBottom w:val="0"/>
      <w:divBdr>
        <w:top w:val="none" w:sz="0" w:space="0" w:color="auto"/>
        <w:left w:val="none" w:sz="0" w:space="0" w:color="auto"/>
        <w:bottom w:val="none" w:sz="0" w:space="0" w:color="auto"/>
        <w:right w:val="none" w:sz="0" w:space="0" w:color="auto"/>
      </w:divBdr>
    </w:div>
    <w:div w:id="1610625438">
      <w:bodyDiv w:val="1"/>
      <w:marLeft w:val="0"/>
      <w:marRight w:val="0"/>
      <w:marTop w:val="0"/>
      <w:marBottom w:val="0"/>
      <w:divBdr>
        <w:top w:val="none" w:sz="0" w:space="0" w:color="auto"/>
        <w:left w:val="none" w:sz="0" w:space="0" w:color="auto"/>
        <w:bottom w:val="none" w:sz="0" w:space="0" w:color="auto"/>
        <w:right w:val="none" w:sz="0" w:space="0" w:color="auto"/>
      </w:divBdr>
    </w:div>
    <w:div w:id="1713193931">
      <w:bodyDiv w:val="1"/>
      <w:marLeft w:val="0"/>
      <w:marRight w:val="0"/>
      <w:marTop w:val="0"/>
      <w:marBottom w:val="0"/>
      <w:divBdr>
        <w:top w:val="none" w:sz="0" w:space="0" w:color="auto"/>
        <w:left w:val="none" w:sz="0" w:space="0" w:color="auto"/>
        <w:bottom w:val="none" w:sz="0" w:space="0" w:color="auto"/>
        <w:right w:val="none" w:sz="0" w:space="0" w:color="auto"/>
      </w:divBdr>
    </w:div>
    <w:div w:id="1728263573">
      <w:bodyDiv w:val="1"/>
      <w:marLeft w:val="0"/>
      <w:marRight w:val="0"/>
      <w:marTop w:val="0"/>
      <w:marBottom w:val="0"/>
      <w:divBdr>
        <w:top w:val="none" w:sz="0" w:space="0" w:color="auto"/>
        <w:left w:val="none" w:sz="0" w:space="0" w:color="auto"/>
        <w:bottom w:val="none" w:sz="0" w:space="0" w:color="auto"/>
        <w:right w:val="none" w:sz="0" w:space="0" w:color="auto"/>
      </w:divBdr>
    </w:div>
    <w:div w:id="1790003436">
      <w:bodyDiv w:val="1"/>
      <w:marLeft w:val="0"/>
      <w:marRight w:val="0"/>
      <w:marTop w:val="0"/>
      <w:marBottom w:val="0"/>
      <w:divBdr>
        <w:top w:val="none" w:sz="0" w:space="0" w:color="auto"/>
        <w:left w:val="none" w:sz="0" w:space="0" w:color="auto"/>
        <w:bottom w:val="none" w:sz="0" w:space="0" w:color="auto"/>
        <w:right w:val="none" w:sz="0" w:space="0" w:color="auto"/>
      </w:divBdr>
    </w:div>
    <w:div w:id="1790902693">
      <w:bodyDiv w:val="1"/>
      <w:marLeft w:val="0"/>
      <w:marRight w:val="0"/>
      <w:marTop w:val="0"/>
      <w:marBottom w:val="0"/>
      <w:divBdr>
        <w:top w:val="none" w:sz="0" w:space="0" w:color="auto"/>
        <w:left w:val="none" w:sz="0" w:space="0" w:color="auto"/>
        <w:bottom w:val="none" w:sz="0" w:space="0" w:color="auto"/>
        <w:right w:val="none" w:sz="0" w:space="0" w:color="auto"/>
      </w:divBdr>
    </w:div>
    <w:div w:id="1818957329">
      <w:bodyDiv w:val="1"/>
      <w:marLeft w:val="0"/>
      <w:marRight w:val="0"/>
      <w:marTop w:val="0"/>
      <w:marBottom w:val="0"/>
      <w:divBdr>
        <w:top w:val="none" w:sz="0" w:space="0" w:color="auto"/>
        <w:left w:val="none" w:sz="0" w:space="0" w:color="auto"/>
        <w:bottom w:val="none" w:sz="0" w:space="0" w:color="auto"/>
        <w:right w:val="none" w:sz="0" w:space="0" w:color="auto"/>
      </w:divBdr>
    </w:div>
    <w:div w:id="1855880885">
      <w:bodyDiv w:val="1"/>
      <w:marLeft w:val="0"/>
      <w:marRight w:val="0"/>
      <w:marTop w:val="0"/>
      <w:marBottom w:val="0"/>
      <w:divBdr>
        <w:top w:val="none" w:sz="0" w:space="0" w:color="auto"/>
        <w:left w:val="none" w:sz="0" w:space="0" w:color="auto"/>
        <w:bottom w:val="none" w:sz="0" w:space="0" w:color="auto"/>
        <w:right w:val="none" w:sz="0" w:space="0" w:color="auto"/>
      </w:divBdr>
    </w:div>
    <w:div w:id="1891842507">
      <w:bodyDiv w:val="1"/>
      <w:marLeft w:val="0"/>
      <w:marRight w:val="0"/>
      <w:marTop w:val="0"/>
      <w:marBottom w:val="0"/>
      <w:divBdr>
        <w:top w:val="none" w:sz="0" w:space="0" w:color="auto"/>
        <w:left w:val="none" w:sz="0" w:space="0" w:color="auto"/>
        <w:bottom w:val="none" w:sz="0" w:space="0" w:color="auto"/>
        <w:right w:val="none" w:sz="0" w:space="0" w:color="auto"/>
      </w:divBdr>
    </w:div>
    <w:div w:id="1927306960">
      <w:bodyDiv w:val="1"/>
      <w:marLeft w:val="0"/>
      <w:marRight w:val="0"/>
      <w:marTop w:val="0"/>
      <w:marBottom w:val="0"/>
      <w:divBdr>
        <w:top w:val="none" w:sz="0" w:space="0" w:color="auto"/>
        <w:left w:val="none" w:sz="0" w:space="0" w:color="auto"/>
        <w:bottom w:val="none" w:sz="0" w:space="0" w:color="auto"/>
        <w:right w:val="none" w:sz="0" w:space="0" w:color="auto"/>
      </w:divBdr>
    </w:div>
    <w:div w:id="1993366129">
      <w:bodyDiv w:val="1"/>
      <w:marLeft w:val="0"/>
      <w:marRight w:val="0"/>
      <w:marTop w:val="0"/>
      <w:marBottom w:val="0"/>
      <w:divBdr>
        <w:top w:val="none" w:sz="0" w:space="0" w:color="auto"/>
        <w:left w:val="none" w:sz="0" w:space="0" w:color="auto"/>
        <w:bottom w:val="none" w:sz="0" w:space="0" w:color="auto"/>
        <w:right w:val="none" w:sz="0" w:space="0" w:color="auto"/>
      </w:divBdr>
    </w:div>
    <w:div w:id="2026207242">
      <w:bodyDiv w:val="1"/>
      <w:marLeft w:val="0"/>
      <w:marRight w:val="0"/>
      <w:marTop w:val="0"/>
      <w:marBottom w:val="0"/>
      <w:divBdr>
        <w:top w:val="none" w:sz="0" w:space="0" w:color="auto"/>
        <w:left w:val="none" w:sz="0" w:space="0" w:color="auto"/>
        <w:bottom w:val="none" w:sz="0" w:space="0" w:color="auto"/>
        <w:right w:val="none" w:sz="0" w:space="0" w:color="auto"/>
      </w:divBdr>
    </w:div>
    <w:div w:id="2028602548">
      <w:bodyDiv w:val="1"/>
      <w:marLeft w:val="0"/>
      <w:marRight w:val="0"/>
      <w:marTop w:val="0"/>
      <w:marBottom w:val="0"/>
      <w:divBdr>
        <w:top w:val="none" w:sz="0" w:space="0" w:color="auto"/>
        <w:left w:val="none" w:sz="0" w:space="0" w:color="auto"/>
        <w:bottom w:val="none" w:sz="0" w:space="0" w:color="auto"/>
        <w:right w:val="none" w:sz="0" w:space="0" w:color="auto"/>
      </w:divBdr>
    </w:div>
    <w:div w:id="20568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inmar.2020.100120" TargetMode="External"/><Relationship Id="rId13" Type="http://schemas.openxmlformats.org/officeDocument/2006/relationships/hyperlink" Target="https://doi.org/10.18488/journal.aefr.2021.115.543.5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016/j.irfa.2021.1011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memar.2021.100115" TargetMode="External"/><Relationship Id="rId5" Type="http://schemas.openxmlformats.org/officeDocument/2006/relationships/webSettings" Target="webSettings.xml"/><Relationship Id="rId15" Type="http://schemas.openxmlformats.org/officeDocument/2006/relationships/hyperlink" Target="https://doi.org/10.3390/ijfs11010001" TargetMode="External"/><Relationship Id="rId10" Type="http://schemas.openxmlformats.org/officeDocument/2006/relationships/hyperlink" Target="https://www.idx.co.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08/JES-09-2020-0456" TargetMode="External"/><Relationship Id="rId14" Type="http://schemas.openxmlformats.org/officeDocument/2006/relationships/hyperlink" Target="https://ojk.go.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F99A328-4E46-48D8-91C5-0C1DB23AEF77}"/>
      </w:docPartPr>
      <w:docPartBody>
        <w:p w:rsidR="005D7FC6" w:rsidRDefault="00B2542F">
          <w:r w:rsidRPr="000B446A">
            <w:rPr>
              <w:rStyle w:val="PlaceholderText"/>
            </w:rPr>
            <w:t>Click or tap here to enter text.</w:t>
          </w:r>
        </w:p>
      </w:docPartBody>
    </w:docPart>
    <w:docPart>
      <w:docPartPr>
        <w:name w:val="6671CCAD9182444CA879F5617CE1EC06"/>
        <w:category>
          <w:name w:val="General"/>
          <w:gallery w:val="placeholder"/>
        </w:category>
        <w:types>
          <w:type w:val="bbPlcHdr"/>
        </w:types>
        <w:behaviors>
          <w:behavior w:val="content"/>
        </w:behaviors>
        <w:guid w:val="{2B5368B3-FA9A-453A-A986-0F291E44E87C}"/>
      </w:docPartPr>
      <w:docPartBody>
        <w:p w:rsidR="005D7FC6" w:rsidRDefault="00B2542F" w:rsidP="00B2542F">
          <w:pPr>
            <w:pStyle w:val="6671CCAD9182444CA879F5617CE1EC06"/>
          </w:pPr>
          <w:r w:rsidRPr="000B446A">
            <w:rPr>
              <w:rStyle w:val="PlaceholderText"/>
            </w:rPr>
            <w:t>Click or tap here to enter text.</w:t>
          </w:r>
        </w:p>
      </w:docPartBody>
    </w:docPart>
    <w:docPart>
      <w:docPartPr>
        <w:name w:val="EA3B4CE048A148F290F31BACF705297F"/>
        <w:category>
          <w:name w:val="General"/>
          <w:gallery w:val="placeholder"/>
        </w:category>
        <w:types>
          <w:type w:val="bbPlcHdr"/>
        </w:types>
        <w:behaviors>
          <w:behavior w:val="content"/>
        </w:behaviors>
        <w:guid w:val="{35801FCF-0FE9-4292-B6F7-6D00558DFAF0}"/>
      </w:docPartPr>
      <w:docPartBody>
        <w:p w:rsidR="005D7FC6" w:rsidRDefault="00B2542F" w:rsidP="00B2542F">
          <w:pPr>
            <w:pStyle w:val="EA3B4CE048A148F290F31BACF705297F"/>
          </w:pPr>
          <w:r w:rsidRPr="000B446A">
            <w:rPr>
              <w:rStyle w:val="PlaceholderText"/>
            </w:rPr>
            <w:t>Click or tap here to enter text.</w:t>
          </w:r>
        </w:p>
      </w:docPartBody>
    </w:docPart>
    <w:docPart>
      <w:docPartPr>
        <w:name w:val="AC6A3D19C7324CEC9519AB9ACDBA1F68"/>
        <w:category>
          <w:name w:val="General"/>
          <w:gallery w:val="placeholder"/>
        </w:category>
        <w:types>
          <w:type w:val="bbPlcHdr"/>
        </w:types>
        <w:behaviors>
          <w:behavior w:val="content"/>
        </w:behaviors>
        <w:guid w:val="{1E47FE06-3FFA-490F-9B39-B81FE79B4E86}"/>
      </w:docPartPr>
      <w:docPartBody>
        <w:p w:rsidR="005D7FC6" w:rsidRDefault="00B2542F" w:rsidP="00B2542F">
          <w:pPr>
            <w:pStyle w:val="AC6A3D19C7324CEC9519AB9ACDBA1F68"/>
          </w:pPr>
          <w:r w:rsidRPr="000B446A">
            <w:rPr>
              <w:rStyle w:val="PlaceholderText"/>
            </w:rPr>
            <w:t>Click or tap here to enter text.</w:t>
          </w:r>
        </w:p>
      </w:docPartBody>
    </w:docPart>
    <w:docPart>
      <w:docPartPr>
        <w:name w:val="5F040E9C2644494E827E0112D01FC8D4"/>
        <w:category>
          <w:name w:val="General"/>
          <w:gallery w:val="placeholder"/>
        </w:category>
        <w:types>
          <w:type w:val="bbPlcHdr"/>
        </w:types>
        <w:behaviors>
          <w:behavior w:val="content"/>
        </w:behaviors>
        <w:guid w:val="{0C8E2901-D280-4445-9B1B-1A8F055743A2}"/>
      </w:docPartPr>
      <w:docPartBody>
        <w:p w:rsidR="005D7FC6" w:rsidRDefault="00B2542F" w:rsidP="00B2542F">
          <w:pPr>
            <w:pStyle w:val="5F040E9C2644494E827E0112D01FC8D4"/>
          </w:pPr>
          <w:r w:rsidRPr="000B446A">
            <w:rPr>
              <w:rStyle w:val="PlaceholderText"/>
            </w:rPr>
            <w:t>Click or tap here to enter text.</w:t>
          </w:r>
        </w:p>
      </w:docPartBody>
    </w:docPart>
    <w:docPart>
      <w:docPartPr>
        <w:name w:val="9886CA74666148FA9CC63B941AFC21A3"/>
        <w:category>
          <w:name w:val="General"/>
          <w:gallery w:val="placeholder"/>
        </w:category>
        <w:types>
          <w:type w:val="bbPlcHdr"/>
        </w:types>
        <w:behaviors>
          <w:behavior w:val="content"/>
        </w:behaviors>
        <w:guid w:val="{D0B7249F-B79F-4337-ADA5-9F2DA013003B}"/>
      </w:docPartPr>
      <w:docPartBody>
        <w:p w:rsidR="005D7FC6" w:rsidRDefault="00B2542F" w:rsidP="00B2542F">
          <w:pPr>
            <w:pStyle w:val="9886CA74666148FA9CC63B941AFC21A3"/>
          </w:pPr>
          <w:r w:rsidRPr="000B446A">
            <w:rPr>
              <w:rStyle w:val="PlaceholderText"/>
            </w:rPr>
            <w:t>Click or tap here to enter text.</w:t>
          </w:r>
        </w:p>
      </w:docPartBody>
    </w:docPart>
    <w:docPart>
      <w:docPartPr>
        <w:name w:val="19C50AA372164586A392C3077670F07A"/>
        <w:category>
          <w:name w:val="General"/>
          <w:gallery w:val="placeholder"/>
        </w:category>
        <w:types>
          <w:type w:val="bbPlcHdr"/>
        </w:types>
        <w:behaviors>
          <w:behavior w:val="content"/>
        </w:behaviors>
        <w:guid w:val="{D9F95085-3E98-4A7B-ACF9-6A38C94CB1AD}"/>
      </w:docPartPr>
      <w:docPartBody>
        <w:p w:rsidR="005D7FC6" w:rsidRDefault="00B2542F" w:rsidP="00B2542F">
          <w:pPr>
            <w:pStyle w:val="19C50AA372164586A392C3077670F07A"/>
          </w:pPr>
          <w:r w:rsidRPr="000B446A">
            <w:rPr>
              <w:rStyle w:val="PlaceholderText"/>
            </w:rPr>
            <w:t>Click or tap here to enter text.</w:t>
          </w:r>
        </w:p>
      </w:docPartBody>
    </w:docPart>
    <w:docPart>
      <w:docPartPr>
        <w:name w:val="8288D8B9B9B647DDBE1F8D88C9C80309"/>
        <w:category>
          <w:name w:val="General"/>
          <w:gallery w:val="placeholder"/>
        </w:category>
        <w:types>
          <w:type w:val="bbPlcHdr"/>
        </w:types>
        <w:behaviors>
          <w:behavior w:val="content"/>
        </w:behaviors>
        <w:guid w:val="{57334381-11AD-47CF-8A05-C7D4F9B05D7E}"/>
      </w:docPartPr>
      <w:docPartBody>
        <w:p w:rsidR="005D7FC6" w:rsidRDefault="00B2542F" w:rsidP="00B2542F">
          <w:pPr>
            <w:pStyle w:val="8288D8B9B9B647DDBE1F8D88C9C80309"/>
          </w:pPr>
          <w:r w:rsidRPr="000B446A">
            <w:rPr>
              <w:rStyle w:val="PlaceholderText"/>
            </w:rPr>
            <w:t>Click or tap here to enter text.</w:t>
          </w:r>
        </w:p>
      </w:docPartBody>
    </w:docPart>
    <w:docPart>
      <w:docPartPr>
        <w:name w:val="A6353FB9510140E18627929789D802FF"/>
        <w:category>
          <w:name w:val="General"/>
          <w:gallery w:val="placeholder"/>
        </w:category>
        <w:types>
          <w:type w:val="bbPlcHdr"/>
        </w:types>
        <w:behaviors>
          <w:behavior w:val="content"/>
        </w:behaviors>
        <w:guid w:val="{14C36BE0-425D-4E08-9BC7-A9B0616CF6EF}"/>
      </w:docPartPr>
      <w:docPartBody>
        <w:p w:rsidR="005D7FC6" w:rsidRDefault="00B2542F" w:rsidP="00B2542F">
          <w:pPr>
            <w:pStyle w:val="A6353FB9510140E18627929789D802FF"/>
          </w:pPr>
          <w:r w:rsidRPr="000B446A">
            <w:rPr>
              <w:rStyle w:val="PlaceholderText"/>
            </w:rPr>
            <w:t>Click or tap here to enter text.</w:t>
          </w:r>
        </w:p>
      </w:docPartBody>
    </w:docPart>
    <w:docPart>
      <w:docPartPr>
        <w:name w:val="1284A0AB7E874886B95187141C944848"/>
        <w:category>
          <w:name w:val="General"/>
          <w:gallery w:val="placeholder"/>
        </w:category>
        <w:types>
          <w:type w:val="bbPlcHdr"/>
        </w:types>
        <w:behaviors>
          <w:behavior w:val="content"/>
        </w:behaviors>
        <w:guid w:val="{CEA64F94-1702-481D-B933-569BDE584BB6}"/>
      </w:docPartPr>
      <w:docPartBody>
        <w:p w:rsidR="005D7FC6" w:rsidRDefault="00B2542F" w:rsidP="00B2542F">
          <w:pPr>
            <w:pStyle w:val="1284A0AB7E874886B95187141C944848"/>
          </w:pPr>
          <w:r w:rsidRPr="000B446A">
            <w:rPr>
              <w:rStyle w:val="PlaceholderText"/>
            </w:rPr>
            <w:t>Click or tap here to enter text.</w:t>
          </w:r>
        </w:p>
      </w:docPartBody>
    </w:docPart>
    <w:docPart>
      <w:docPartPr>
        <w:name w:val="CE1E954C2D5C427F91D142A4802C0252"/>
        <w:category>
          <w:name w:val="General"/>
          <w:gallery w:val="placeholder"/>
        </w:category>
        <w:types>
          <w:type w:val="bbPlcHdr"/>
        </w:types>
        <w:behaviors>
          <w:behavior w:val="content"/>
        </w:behaviors>
        <w:guid w:val="{4E70FDF0-F2FB-4FE9-B58A-6525C31DC76A}"/>
      </w:docPartPr>
      <w:docPartBody>
        <w:p w:rsidR="005D7FC6" w:rsidRDefault="00B2542F" w:rsidP="00B2542F">
          <w:pPr>
            <w:pStyle w:val="CE1E954C2D5C427F91D142A4802C0252"/>
          </w:pPr>
          <w:r w:rsidRPr="000B446A">
            <w:rPr>
              <w:rStyle w:val="PlaceholderText"/>
            </w:rPr>
            <w:t>Click or tap here to enter text.</w:t>
          </w:r>
        </w:p>
      </w:docPartBody>
    </w:docPart>
    <w:docPart>
      <w:docPartPr>
        <w:name w:val="D5C76166DB394A65BE12732615EB0542"/>
        <w:category>
          <w:name w:val="General"/>
          <w:gallery w:val="placeholder"/>
        </w:category>
        <w:types>
          <w:type w:val="bbPlcHdr"/>
        </w:types>
        <w:behaviors>
          <w:behavior w:val="content"/>
        </w:behaviors>
        <w:guid w:val="{1352724C-56F0-4677-8729-87288D8498EC}"/>
      </w:docPartPr>
      <w:docPartBody>
        <w:p w:rsidR="005D7FC6" w:rsidRDefault="00B2542F" w:rsidP="00B2542F">
          <w:pPr>
            <w:pStyle w:val="D5C76166DB394A65BE12732615EB0542"/>
          </w:pPr>
          <w:r w:rsidRPr="000B446A">
            <w:rPr>
              <w:rStyle w:val="PlaceholderText"/>
            </w:rPr>
            <w:t>Click or tap here to enter text.</w:t>
          </w:r>
        </w:p>
      </w:docPartBody>
    </w:docPart>
    <w:docPart>
      <w:docPartPr>
        <w:name w:val="D215C116CC894AD293351554088697AA"/>
        <w:category>
          <w:name w:val="General"/>
          <w:gallery w:val="placeholder"/>
        </w:category>
        <w:types>
          <w:type w:val="bbPlcHdr"/>
        </w:types>
        <w:behaviors>
          <w:behavior w:val="content"/>
        </w:behaviors>
        <w:guid w:val="{282CE46C-6BF9-4362-86CF-37A7801ACF60}"/>
      </w:docPartPr>
      <w:docPartBody>
        <w:p w:rsidR="005D7FC6" w:rsidRDefault="00B2542F" w:rsidP="00B2542F">
          <w:pPr>
            <w:pStyle w:val="D215C116CC894AD293351554088697AA"/>
          </w:pPr>
          <w:r w:rsidRPr="000B446A">
            <w:rPr>
              <w:rStyle w:val="PlaceholderText"/>
            </w:rPr>
            <w:t>Click or tap here to enter text.</w:t>
          </w:r>
        </w:p>
      </w:docPartBody>
    </w:docPart>
    <w:docPart>
      <w:docPartPr>
        <w:name w:val="BAE94BD2AF78472BA657EB4C1DFACF19"/>
        <w:category>
          <w:name w:val="General"/>
          <w:gallery w:val="placeholder"/>
        </w:category>
        <w:types>
          <w:type w:val="bbPlcHdr"/>
        </w:types>
        <w:behaviors>
          <w:behavior w:val="content"/>
        </w:behaviors>
        <w:guid w:val="{F7AB3C91-AFBD-4D29-9888-3A2A7F457A35}"/>
      </w:docPartPr>
      <w:docPartBody>
        <w:p w:rsidR="005D7FC6" w:rsidRDefault="00B2542F" w:rsidP="00B2542F">
          <w:pPr>
            <w:pStyle w:val="BAE94BD2AF78472BA657EB4C1DFACF19"/>
          </w:pPr>
          <w:r w:rsidRPr="000B446A">
            <w:rPr>
              <w:rStyle w:val="PlaceholderText"/>
            </w:rPr>
            <w:t>Click or tap here to enter text.</w:t>
          </w:r>
        </w:p>
      </w:docPartBody>
    </w:docPart>
    <w:docPart>
      <w:docPartPr>
        <w:name w:val="3FC88BF8F0E0484C93C881B951FBA125"/>
        <w:category>
          <w:name w:val="General"/>
          <w:gallery w:val="placeholder"/>
        </w:category>
        <w:types>
          <w:type w:val="bbPlcHdr"/>
        </w:types>
        <w:behaviors>
          <w:behavior w:val="content"/>
        </w:behaviors>
        <w:guid w:val="{38B63C07-D696-4869-9FB7-32E108B57A08}"/>
      </w:docPartPr>
      <w:docPartBody>
        <w:p w:rsidR="005D7FC6" w:rsidRDefault="00B2542F" w:rsidP="00B2542F">
          <w:pPr>
            <w:pStyle w:val="3FC88BF8F0E0484C93C881B951FBA125"/>
          </w:pPr>
          <w:r w:rsidRPr="000B446A">
            <w:rPr>
              <w:rStyle w:val="PlaceholderText"/>
            </w:rPr>
            <w:t>Click or tap here to enter text.</w:t>
          </w:r>
        </w:p>
      </w:docPartBody>
    </w:docPart>
    <w:docPart>
      <w:docPartPr>
        <w:name w:val="0153F76860B8451C9E319AA11B94E808"/>
        <w:category>
          <w:name w:val="General"/>
          <w:gallery w:val="placeholder"/>
        </w:category>
        <w:types>
          <w:type w:val="bbPlcHdr"/>
        </w:types>
        <w:behaviors>
          <w:behavior w:val="content"/>
        </w:behaviors>
        <w:guid w:val="{6401115D-18D8-4C58-98F2-D611A989B06D}"/>
      </w:docPartPr>
      <w:docPartBody>
        <w:p w:rsidR="005D7FC6" w:rsidRDefault="00B2542F" w:rsidP="00B2542F">
          <w:pPr>
            <w:pStyle w:val="0153F76860B8451C9E319AA11B94E808"/>
          </w:pPr>
          <w:r w:rsidRPr="000B446A">
            <w:rPr>
              <w:rStyle w:val="PlaceholderText"/>
            </w:rPr>
            <w:t>Click or tap here to enter text.</w:t>
          </w:r>
        </w:p>
      </w:docPartBody>
    </w:docPart>
    <w:docPart>
      <w:docPartPr>
        <w:name w:val="A82F630B91244B838E609E58BCC0291D"/>
        <w:category>
          <w:name w:val="General"/>
          <w:gallery w:val="placeholder"/>
        </w:category>
        <w:types>
          <w:type w:val="bbPlcHdr"/>
        </w:types>
        <w:behaviors>
          <w:behavior w:val="content"/>
        </w:behaviors>
        <w:guid w:val="{154695D1-B85B-4BB0-8079-B286247BCEE7}"/>
      </w:docPartPr>
      <w:docPartBody>
        <w:p w:rsidR="005D7FC6" w:rsidRDefault="00B2542F" w:rsidP="00B2542F">
          <w:pPr>
            <w:pStyle w:val="A82F630B91244B838E609E58BCC0291D"/>
          </w:pPr>
          <w:r w:rsidRPr="000B446A">
            <w:rPr>
              <w:rStyle w:val="PlaceholderText"/>
            </w:rPr>
            <w:t>Click or tap here to enter text.</w:t>
          </w:r>
        </w:p>
      </w:docPartBody>
    </w:docPart>
    <w:docPart>
      <w:docPartPr>
        <w:name w:val="040D2140060248429BB63AEAB32113BD"/>
        <w:category>
          <w:name w:val="General"/>
          <w:gallery w:val="placeholder"/>
        </w:category>
        <w:types>
          <w:type w:val="bbPlcHdr"/>
        </w:types>
        <w:behaviors>
          <w:behavior w:val="content"/>
        </w:behaviors>
        <w:guid w:val="{844C7662-9663-4983-BF7F-7473B2414D35}"/>
      </w:docPartPr>
      <w:docPartBody>
        <w:p w:rsidR="005D7FC6" w:rsidRDefault="00B2542F" w:rsidP="00B2542F">
          <w:pPr>
            <w:pStyle w:val="040D2140060248429BB63AEAB32113BD"/>
          </w:pPr>
          <w:r w:rsidRPr="000B446A">
            <w:rPr>
              <w:rStyle w:val="PlaceholderText"/>
            </w:rPr>
            <w:t>Click or tap here to enter text.</w:t>
          </w:r>
        </w:p>
      </w:docPartBody>
    </w:docPart>
    <w:docPart>
      <w:docPartPr>
        <w:name w:val="EDAB7A865E5449B4BBECCA7C06D37176"/>
        <w:category>
          <w:name w:val="General"/>
          <w:gallery w:val="placeholder"/>
        </w:category>
        <w:types>
          <w:type w:val="bbPlcHdr"/>
        </w:types>
        <w:behaviors>
          <w:behavior w:val="content"/>
        </w:behaviors>
        <w:guid w:val="{20267D0C-5131-4ACE-B8AB-17BF5582B724}"/>
      </w:docPartPr>
      <w:docPartBody>
        <w:p w:rsidR="005D7FC6" w:rsidRDefault="00B2542F" w:rsidP="00B2542F">
          <w:pPr>
            <w:pStyle w:val="EDAB7A865E5449B4BBECCA7C06D37176"/>
          </w:pPr>
          <w:r w:rsidRPr="000B446A">
            <w:rPr>
              <w:rStyle w:val="PlaceholderText"/>
            </w:rPr>
            <w:t>Click or tap here to enter text.</w:t>
          </w:r>
        </w:p>
      </w:docPartBody>
    </w:docPart>
    <w:docPart>
      <w:docPartPr>
        <w:name w:val="315AD146CF1B4135BFCD81ABF5E2A167"/>
        <w:category>
          <w:name w:val="General"/>
          <w:gallery w:val="placeholder"/>
        </w:category>
        <w:types>
          <w:type w:val="bbPlcHdr"/>
        </w:types>
        <w:behaviors>
          <w:behavior w:val="content"/>
        </w:behaviors>
        <w:guid w:val="{D0F4082D-662F-47A4-A73C-CA05A0F4B609}"/>
      </w:docPartPr>
      <w:docPartBody>
        <w:p w:rsidR="005D7FC6" w:rsidRDefault="00B2542F" w:rsidP="00B2542F">
          <w:pPr>
            <w:pStyle w:val="315AD146CF1B4135BFCD81ABF5E2A167"/>
          </w:pPr>
          <w:r w:rsidRPr="000B446A">
            <w:rPr>
              <w:rStyle w:val="PlaceholderText"/>
            </w:rPr>
            <w:t>Click or tap here to enter text.</w:t>
          </w:r>
        </w:p>
      </w:docPartBody>
    </w:docPart>
    <w:docPart>
      <w:docPartPr>
        <w:name w:val="6675988930104F5B89A48CA146D3B785"/>
        <w:category>
          <w:name w:val="General"/>
          <w:gallery w:val="placeholder"/>
        </w:category>
        <w:types>
          <w:type w:val="bbPlcHdr"/>
        </w:types>
        <w:behaviors>
          <w:behavior w:val="content"/>
        </w:behaviors>
        <w:guid w:val="{3F7C1E25-5AF7-4312-974E-3BB105C31147}"/>
      </w:docPartPr>
      <w:docPartBody>
        <w:p w:rsidR="00000000" w:rsidRDefault="009E37DE" w:rsidP="009E37DE">
          <w:pPr>
            <w:pStyle w:val="6675988930104F5B89A48CA146D3B785"/>
          </w:pPr>
          <w:r w:rsidRPr="000B44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2F"/>
    <w:rsid w:val="00470136"/>
    <w:rsid w:val="005D7FC6"/>
    <w:rsid w:val="007F311F"/>
    <w:rsid w:val="009E37DE"/>
    <w:rsid w:val="00B2542F"/>
    <w:rsid w:val="00F652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7DE"/>
    <w:rPr>
      <w:color w:val="808080"/>
    </w:rPr>
  </w:style>
  <w:style w:type="paragraph" w:customStyle="1" w:styleId="6671CCAD9182444CA879F5617CE1EC06">
    <w:name w:val="6671CCAD9182444CA879F5617CE1EC06"/>
    <w:rsid w:val="00B2542F"/>
  </w:style>
  <w:style w:type="paragraph" w:customStyle="1" w:styleId="EA3B4CE048A148F290F31BACF705297F">
    <w:name w:val="EA3B4CE048A148F290F31BACF705297F"/>
    <w:rsid w:val="00B2542F"/>
  </w:style>
  <w:style w:type="paragraph" w:customStyle="1" w:styleId="AC6A3D19C7324CEC9519AB9ACDBA1F68">
    <w:name w:val="AC6A3D19C7324CEC9519AB9ACDBA1F68"/>
    <w:rsid w:val="00B2542F"/>
  </w:style>
  <w:style w:type="paragraph" w:customStyle="1" w:styleId="5F040E9C2644494E827E0112D01FC8D4">
    <w:name w:val="5F040E9C2644494E827E0112D01FC8D4"/>
    <w:rsid w:val="00B2542F"/>
  </w:style>
  <w:style w:type="paragraph" w:customStyle="1" w:styleId="9886CA74666148FA9CC63B941AFC21A3">
    <w:name w:val="9886CA74666148FA9CC63B941AFC21A3"/>
    <w:rsid w:val="00B2542F"/>
  </w:style>
  <w:style w:type="paragraph" w:customStyle="1" w:styleId="19C50AA372164586A392C3077670F07A">
    <w:name w:val="19C50AA372164586A392C3077670F07A"/>
    <w:rsid w:val="00B2542F"/>
  </w:style>
  <w:style w:type="paragraph" w:customStyle="1" w:styleId="8288D8B9B9B647DDBE1F8D88C9C80309">
    <w:name w:val="8288D8B9B9B647DDBE1F8D88C9C80309"/>
    <w:rsid w:val="00B2542F"/>
  </w:style>
  <w:style w:type="paragraph" w:customStyle="1" w:styleId="A6353FB9510140E18627929789D802FF">
    <w:name w:val="A6353FB9510140E18627929789D802FF"/>
    <w:rsid w:val="00B2542F"/>
  </w:style>
  <w:style w:type="paragraph" w:customStyle="1" w:styleId="1284A0AB7E874886B95187141C944848">
    <w:name w:val="1284A0AB7E874886B95187141C944848"/>
    <w:rsid w:val="00B2542F"/>
  </w:style>
  <w:style w:type="paragraph" w:customStyle="1" w:styleId="CE1E954C2D5C427F91D142A4802C0252">
    <w:name w:val="CE1E954C2D5C427F91D142A4802C0252"/>
    <w:rsid w:val="00B2542F"/>
  </w:style>
  <w:style w:type="paragraph" w:customStyle="1" w:styleId="D5C76166DB394A65BE12732615EB0542">
    <w:name w:val="D5C76166DB394A65BE12732615EB0542"/>
    <w:rsid w:val="00B2542F"/>
  </w:style>
  <w:style w:type="paragraph" w:customStyle="1" w:styleId="D215C116CC894AD293351554088697AA">
    <w:name w:val="D215C116CC894AD293351554088697AA"/>
    <w:rsid w:val="00B2542F"/>
  </w:style>
  <w:style w:type="paragraph" w:customStyle="1" w:styleId="BAE94BD2AF78472BA657EB4C1DFACF19">
    <w:name w:val="BAE94BD2AF78472BA657EB4C1DFACF19"/>
    <w:rsid w:val="00B2542F"/>
  </w:style>
  <w:style w:type="paragraph" w:customStyle="1" w:styleId="3FC88BF8F0E0484C93C881B951FBA125">
    <w:name w:val="3FC88BF8F0E0484C93C881B951FBA125"/>
    <w:rsid w:val="00B2542F"/>
  </w:style>
  <w:style w:type="paragraph" w:customStyle="1" w:styleId="0153F76860B8451C9E319AA11B94E808">
    <w:name w:val="0153F76860B8451C9E319AA11B94E808"/>
    <w:rsid w:val="00B2542F"/>
  </w:style>
  <w:style w:type="paragraph" w:customStyle="1" w:styleId="A82F630B91244B838E609E58BCC0291D">
    <w:name w:val="A82F630B91244B838E609E58BCC0291D"/>
    <w:rsid w:val="00B2542F"/>
  </w:style>
  <w:style w:type="paragraph" w:customStyle="1" w:styleId="040D2140060248429BB63AEAB32113BD">
    <w:name w:val="040D2140060248429BB63AEAB32113BD"/>
    <w:rsid w:val="00B2542F"/>
  </w:style>
  <w:style w:type="paragraph" w:customStyle="1" w:styleId="EDAB7A865E5449B4BBECCA7C06D37176">
    <w:name w:val="EDAB7A865E5449B4BBECCA7C06D37176"/>
    <w:rsid w:val="00B2542F"/>
  </w:style>
  <w:style w:type="paragraph" w:customStyle="1" w:styleId="315AD146CF1B4135BFCD81ABF5E2A167">
    <w:name w:val="315AD146CF1B4135BFCD81ABF5E2A167"/>
    <w:rsid w:val="00B2542F"/>
  </w:style>
  <w:style w:type="paragraph" w:customStyle="1" w:styleId="6675988930104F5B89A48CA146D3B785">
    <w:name w:val="6675988930104F5B89A48CA146D3B785"/>
    <w:rsid w:val="009E3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851DAE-00BD-48C7-8B47-3B4CFA8C048C}">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0655fc4a-a253-4721-9f0a-7f47212abeb7&quot;,&quot;properties&quot;:{&quot;noteIndex&quot;:0},&quot;isEdited&quot;:false,&quot;manualOverride&quot;:{&quot;isManuallyOverridden&quot;:true,&quot;citeprocText&quot;:&quot;(&lt;i&gt;PT Bursa Efek Indonesia&lt;/i&gt;, n.d.)&quot;,&quot;manualOverrideText&quot;:&quot;(IDX, 2021)&quot;},&quot;citationTag&quot;:&quot;MENDELEY_CITATION_v3_eyJjaXRhdGlvbklEIjoiTUVOREVMRVlfQ0lUQVRJT05fMDY1NWZjNGEtYTI1My00NzIxLTlmMGEtN2Y0NzIxMmFiZWI3IiwicHJvcGVydGllcyI6eyJub3RlSW5kZXgiOjB9LCJpc0VkaXRlZCI6ZmFsc2UsIm1hbnVhbE92ZXJyaWRlIjp7ImlzTWFudWFsbHlPdmVycmlkZGVuIjp0cnVlLCJjaXRlcHJvY1RleHQiOiIoPGk+UFQgQnVyc2EgRWZlayBJbmRvbmVzaWE8L2k+LCBuLmQuKSIsIm1hbnVhbE92ZXJyaWRlVGV4dCI6IihJRFgsIDIwMjEpIn0sImNpdGF0aW9uSXRlbXMiOlt7ImlkIjoiOTcyMTBkNGQtYWRiZi0zMmQ4LTk5OWQtYmZlMjFhNDU4M2E2IiwiaXRlbURhdGEiOnsidHlwZSI6IndlYnBhZ2UiLCJpZCI6Ijk3MjEwZDRkLWFkYmYtMzJkOC05OTlkLWJmZTIxYTQ1ODNhNiIsInRpdGxlIjoiUFQgQnVyc2EgRWZlayBJbmRvbmVzaWEiLCJhY2Nlc3NlZCI6eyJkYXRlLXBhcnRzIjpbWzIwMjUsMTAsMjJdXX0sIlVSTCI6Imh0dHBzOi8vd3d3LmlkeC5jby5pZC9pZCIsImNvbnRhaW5lci10aXRsZS1zaG9ydCI6IiJ9LCJpc1RlbXBvcmFyeSI6ZmFsc2V9XX0=&quot;,&quot;citationItems&quot;:[{&quot;id&quot;:&quot;97210d4d-adbf-32d8-999d-bfe21a4583a6&quot;,&quot;itemData&quot;:{&quot;type&quot;:&quot;webpage&quot;,&quot;id&quot;:&quot;97210d4d-adbf-32d8-999d-bfe21a4583a6&quot;,&quot;title&quot;:&quot;PT Bursa Efek Indonesia&quot;,&quot;accessed&quot;:{&quot;date-parts&quot;:[[2025,10,22]]},&quot;URL&quot;:&quot;https://www.idx.co.id/id&quot;,&quot;container-title-short&quot;:&quot;&quot;},&quot;isTemporary&quot;:false}]},{&quot;citationID&quot;:&quot;MENDELEY_CITATION_01154e35-f500-4158-8052-5978f139bbfb&quot;,&quot;properties&quot;:{&quot;noteIndex&quot;:0},&quot;isEdited&quot;:false,&quot;manualOverride&quot;:{&quot;isManuallyOverridden&quot;:true,&quot;citeprocText&quot;:&quot;(Zhang et al., 2022)&quot;,&quot;manualOverrideText&quot;:&quot;(Liu et al., 2021)&quot;},&quot;citationTag&quot;:&quot;MENDELEY_CITATION_v3_eyJjaXRhdGlvbklEIjoiTUVOREVMRVlfQ0lUQVRJT05fMDExNTRlMzUtZjUwMC00MTU4LTgwNTItNTk3OGYxMzliYmZiIiwicHJvcGVydGllcyI6eyJub3RlSW5kZXgiOjB9LCJpc0VkaXRlZCI6ZmFsc2UsIm1hbnVhbE92ZXJyaWRlIjp7ImlzTWFudWFsbHlPdmVycmlkZGVuIjp0cnVlLCJjaXRlcHJvY1RleHQiOiIoWmhhbmcgZXQgYWwuLCAyMDIyKSIsIm1hbnVhbE92ZXJyaWRlVGV4dCI6IihMaXUgZXQgYWwuLCAyMDIx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995c4d72-4ea2-4087-bab5-57dff4b31d42&quot;,&quot;properties&quot;:{&quot;noteIndex&quot;:0},&quot;isEdited&quot;:false,&quot;manualOverride&quot;:{&quot;isManuallyOverridden&quot;:true,&quot;citeprocText&quot;:&quot;(Zhang et al., 2022)&quot;,&quot;manualOverrideText&quot;:&quot;(Chakravarty et al., 2020)&quot;},&quot;citationTag&quot;:&quot;MENDELEY_CITATION_v3_eyJjaXRhdGlvbklEIjoiTUVOREVMRVlfQ0lUQVRJT05fOTk1YzRkNzItNGVhMi00MDg3LWJhYjUtNTdkZmY0YjMxZDQyIiwicHJvcGVydGllcyI6eyJub3RlSW5kZXgiOjB9LCJpc0VkaXRlZCI6ZmFsc2UsIm1hbnVhbE92ZXJyaWRlIjp7ImlzTWFudWFsbHlPdmVycmlkZGVuIjp0cnVlLCJjaXRlcHJvY1RleHQiOiIoWmhhbmcgZXQgYWwuLCAyMDIyKSIsIm1hbnVhbE92ZXJyaWRlVGV4dCI6IihDaGFrcmF2YXJ0eSBldCBhbC4sIDIwMjA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c5d6e3b4-2529-4888-ac5a-99cc01cbc722&quot;,&quot;properties&quot;:{&quot;noteIndex&quot;:0},&quot;isEdited&quot;:false,&quot;manualOverride&quot;:{&quot;isManuallyOverridden&quot;:true,&quot;citeprocText&quot;:&quot;(Zhang et al., 2022)&quot;,&quot;manualOverrideText&quot;:&quot;(2022)&quot;},&quot;citationTag&quot;:&quot;MENDELEY_CITATION_v3_eyJjaXRhdGlvbklEIjoiTUVOREVMRVlfQ0lUQVRJT05fYzVkNmUzYjQtMjUyOS00ODg4LWFjNWEtOTljYzAxY2JjNzIyIiwicHJvcGVydGllcyI6eyJub3RlSW5kZXgiOjB9LCJpc0VkaXRlZCI6ZmFsc2UsIm1hbnVhbE92ZXJyaWRlIjp7ImlzTWFudWFsbHlPdmVycmlkZGVuIjp0cnVlLCJjaXRlcHJvY1RleHQiOiIoWmhhbmcgZXQgYWwuLCAyMDIyKSIsIm1hbnVhbE92ZXJyaWRlVGV4dCI6IigyMDIy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e741523a-6f47-4a69-bc5b-ce6a9f43f18a&quot;,&quot;properties&quot;:{&quot;noteIndex&quot;:0},&quot;isEdited&quot;:false,&quot;manualOverride&quot;:{&quot;isManuallyOverridden&quot;:true,&quot;citeprocText&quot;:&quot;(Zhang et al., 2022)&quot;,&quot;manualOverrideText&quot;:&quot;(Creswell &amp; Creswell, 2020; Nugroho et al., 2021)&quot;},&quot;citationTag&quot;:&quot;MENDELEY_CITATION_v3_eyJjaXRhdGlvbklEIjoiTUVOREVMRVlfQ0lUQVRJT05fZTc0MTUyM2EtNmY0Ny00YTY5LWJjNWItY2U2YTlmNDNmMThhIiwicHJvcGVydGllcyI6eyJub3RlSW5kZXgiOjB9LCJpc0VkaXRlZCI6ZmFsc2UsIm1hbnVhbE92ZXJyaWRlIjp7ImlzTWFudWFsbHlPdmVycmlkZGVuIjp0cnVlLCJjaXRlcHJvY1RleHQiOiIoWmhhbmcgZXQgYWwuLCAyMDIyKSIsIm1hbnVhbE92ZXJyaWRlVGV4dCI6IihDcmVzd2VsbCAmIENyZXN3ZWxsLCAyMDIwOyBOdWdyb2hvIGV0IGFsLi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7a998535-0591-4377-bdc7-04bdc7a6ce86&quot;,&quot;properties&quot;:{&quot;noteIndex&quot;:0},&quot;isEdited&quot;:false,&quot;manualOverride&quot;:{&quot;isManuallyOverridden&quot;:true,&quot;citeprocText&quot;:&quot;(Zhang et al., 2022)&quot;,&quot;manualOverrideText&quot;:&quot;(Halim &amp; Setiawan, 2023)&quot;},&quot;citationTag&quot;:&quot;MENDELEY_CITATION_v3_eyJjaXRhdGlvbklEIjoiTUVOREVMRVlfQ0lUQVRJT05fN2E5OTg1MzUtMDU5MS00Mzc3LWJkYzctMDRiZGM3YTZjZTg2IiwicHJvcGVydGllcyI6eyJub3RlSW5kZXgiOjB9LCJpc0VkaXRlZCI6ZmFsc2UsIm1hbnVhbE92ZXJyaWRlIjp7ImlzTWFudWFsbHlPdmVycmlkZGVuIjp0cnVlLCJjaXRlcHJvY1RleHQiOiIoWmhhbmcgZXQgYWwuLCAyMDIyKSIsIm1hbnVhbE92ZXJyaWRlVGV4dCI6IihIYWxpbSAmIFNldGlhd2FuLCAyMDIz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80a83ffd-47d4-4024-aa40-05a8da2c8372&quot;,&quot;properties&quot;:{&quot;noteIndex&quot;:0},&quot;isEdited&quot;:false,&quot;manualOverride&quot;:{&quot;isManuallyOverridden&quot;:true,&quot;citeprocText&quot;:&quot;(Zhang et al., 2022)&quot;,&quot;manualOverrideText&quot;:&quot;(Prabowo &amp; Yulianto, 2021)&quot;},&quot;citationTag&quot;:&quot;MENDELEY_CITATION_v3_eyJjaXRhdGlvbklEIjoiTUVOREVMRVlfQ0lUQVRJT05fODBhODNmZmQtNDdkNC00MDI0LWFhNDAtMDVhOGRhMmM4MzcyIiwicHJvcGVydGllcyI6eyJub3RlSW5kZXgiOjB9LCJpc0VkaXRlZCI6ZmFsc2UsIm1hbnVhbE92ZXJyaWRlIjp7ImlzTWFudWFsbHlPdmVycmlkZGVuIjp0cnVlLCJjaXRlcHJvY1RleHQiOiIoWmhhbmcgZXQgYWwuLCAyMDIyKSIsIm1hbnVhbE92ZXJyaWRlVGV4dCI6IihQcmFib3dvICYgWXVsaWFudG8sIDIwMjE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4635b58f-b84f-4abe-b1c5-fc2360ff8d35&quot;,&quot;properties&quot;:{&quot;noteIndex&quot;:0},&quot;isEdited&quot;:false,&quot;manualOverride&quot;:{&quot;isManuallyOverridden&quot;:true,&quot;citeprocText&quot;:&quot;(Zhang et al., 2022)&quot;,&quot;manualOverrideText&quot;:&quot;(Rizal &amp; Setiawan, 2022; Wang &amp; Chen, 2021)&quot;},&quot;citationTag&quot;:&quot;MENDELEY_CITATION_v3_eyJjaXRhdGlvbklEIjoiTUVOREVMRVlfQ0lUQVRJT05fNDYzNWI1OGYtYjg0Zi00YWJlLWIxYzUtZmMyMzYwZmY4ZDM1IiwicHJvcGVydGllcyI6eyJub3RlSW5kZXgiOjB9LCJpc0VkaXRlZCI6ZmFsc2UsIm1hbnVhbE92ZXJyaWRlIjp7ImlzTWFudWFsbHlPdmVycmlkZGVuIjp0cnVlLCJjaXRlcHJvY1RleHQiOiIoWmhhbmcgZXQgYWwuLCAyMDIyKSIsIm1hbnVhbE92ZXJyaWRlVGV4dCI6IihSaXphbCAmIFNldGlhd2FuLCAyMDIyOyBXYW5nICYgQ2hlbi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fb93cd07-bb8c-4127-8df7-2516c2db44e4&quot;,&quot;properties&quot;:{&quot;noteIndex&quot;:0},&quot;isEdited&quot;:false,&quot;manualOverride&quot;:{&quot;isManuallyOverridden&quot;:true,&quot;citeprocText&quot;:&quot;(Zhang et al., 2022)&quot;,&quot;manualOverrideText&quot;:&quot;(Sari &amp; Nugroho, 2021)&quot;},&quot;citationTag&quot;:&quot;MENDELEY_CITATION_v3_eyJjaXRhdGlvbklEIjoiTUVOREVMRVlfQ0lUQVRJT05fZmI5M2NkMDctYmI4Yy00MTI3LThkZjctMjUxNmMyZGI0NGU0IiwicHJvcGVydGllcyI6eyJub3RlSW5kZXgiOjB9LCJpc0VkaXRlZCI6ZmFsc2UsIm1hbnVhbE92ZXJyaWRlIjp7ImlzTWFudWFsbHlPdmVycmlkZGVuIjp0cnVlLCJjaXRlcHJvY1RleHQiOiIoWmhhbmcgZXQgYWwuLCAyMDIyKSIsIm1hbnVhbE92ZXJyaWRlVGV4dCI6IihTYXJpICYgTnVncm9oby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88f1c6f4-91c8-4789-9e17-d0b2727e67e8&quot;,&quot;properties&quot;:{&quot;noteIndex&quot;:0},&quot;isEdited&quot;:false,&quot;manualOverride&quot;:{&quot;isManuallyOverridden&quot;:true,&quot;citeprocText&quot;:&quot;(Zhang et al., 2022)&quot;,&quot;manualOverrideText&quot;:&quot;(IDX, 2023)&quot;},&quot;citationTag&quot;:&quot;MENDELEY_CITATION_v3_eyJjaXRhdGlvbklEIjoiTUVOREVMRVlfQ0lUQVRJT05fODhmMWM2ZjQtOTFjOC00Nzg5LTllMTctZDBiMjcyN2U2N2U4IiwicHJvcGVydGllcyI6eyJub3RlSW5kZXgiOjB9LCJpc0VkaXRlZCI6ZmFsc2UsIm1hbnVhbE92ZXJyaWRlIjp7ImlzTWFudWFsbHlPdmVycmlkZGVuIjp0cnVlLCJjaXRlcHJvY1RleHQiOiIoWmhhbmcgZXQgYWwuLCAyMDIyKSIsIm1hbnVhbE92ZXJyaWRlVGV4dCI6IihJRFgsIDIwMjM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d0ba0f49-cad6-48cc-81c7-8b5abc7b5968&quot;,&quot;properties&quot;:{&quot;noteIndex&quot;:0},&quot;isEdited&quot;:false,&quot;manualOverride&quot;:{&quot;isManuallyOverridden&quot;:true,&quot;citeprocText&quot;:&quot;(Zhang et al., 2022)&quot;,&quot;manualOverrideText&quot;:&quot;(Suhartono et al., 2021)&quot;},&quot;citationTag&quot;:&quot;MENDELEY_CITATION_v3_eyJjaXRhdGlvbklEIjoiTUVOREVMRVlfQ0lUQVRJT05fZDBiYTBmNDktY2FkNi00OGNjLTgxYzctOGI1YWJjN2I1OTY4IiwicHJvcGVydGllcyI6eyJub3RlSW5kZXgiOjB9LCJpc0VkaXRlZCI6ZmFsc2UsIm1hbnVhbE92ZXJyaWRlIjp7ImlzTWFudWFsbHlPdmVycmlkZGVuIjp0cnVlLCJjaXRlcHJvY1RleHQiOiIoWmhhbmcgZXQgYWwuLCAyMDIyKSIsIm1hbnVhbE92ZXJyaWRlVGV4dCI6IihTdWhhcnRvbm8gZXQgYWwuLCAyMDIx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03058781-de64-4f3a-8553-c4d20f4e13ab&quot;,&quot;properties&quot;:{&quot;noteIndex&quot;:0},&quot;isEdited&quot;:false,&quot;manualOverride&quot;:{&quot;isManuallyOverridden&quot;:true,&quot;citeprocText&quot;:&quot;(Zhang et al., 2022)&quot;,&quot;manualOverrideText&quot;:&quot;(Halim &amp; Rahman, 2022)&quot;},&quot;citationTag&quot;:&quot;MENDELEY_CITATION_v3_eyJjaXRhdGlvbklEIjoiTUVOREVMRVlfQ0lUQVRJT05fMDMwNTg3ODEtZGU2NC00ZjNhLTg1NTMtYzRkMjBmNGUxM2FiIiwicHJvcGVydGllcyI6eyJub3RlSW5kZXgiOjB9LCJpc0VkaXRlZCI6ZmFsc2UsIm1hbnVhbE92ZXJyaWRlIjp7ImlzTWFudWFsbHlPdmVycmlkZGVuIjp0cnVlLCJjaXRlcHJvY1RleHQiOiIoWmhhbmcgZXQgYWwuLCAyMDIyKSIsIm1hbnVhbE92ZXJyaWRlVGV4dCI6IihIYWxpbSAmIFJhaG1hbi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cb79a585-7521-475a-acb4-a57ff3eb77fe&quot;,&quot;properties&quot;:{&quot;noteIndex&quot;:0},&quot;isEdited&quot;:false,&quot;manualOverride&quot;:{&quot;isManuallyOverridden&quot;:true,&quot;citeprocText&quot;:&quot;(Zhang et al., 2022)&quot;,&quot;manualOverrideText&quot;:&quot;(Sari &amp; Widyastuti, 2022)&quot;},&quot;citationTag&quot;:&quot;MENDELEY_CITATION_v3_eyJjaXRhdGlvbklEIjoiTUVOREVMRVlfQ0lUQVRJT05fY2I3OWE1ODUtNzUyMS00NzVhLWFjYjQtYTU3ZmYzZWI3N2ZlIiwicHJvcGVydGllcyI6eyJub3RlSW5kZXgiOjB9LCJpc0VkaXRlZCI6ZmFsc2UsIm1hbnVhbE92ZXJyaWRlIjp7ImlzTWFudWFsbHlPdmVycmlkZGVuIjp0cnVlLCJjaXRlcHJvY1RleHQiOiIoWmhhbmcgZXQgYWwuLCAyMDIyKSIsIm1hbnVhbE92ZXJyaWRlVGV4dCI6IihTYXJpICYgV2lkeWFzdHV0aS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a79fc288-ac8d-4671-b670-ad8b060bc088&quot;,&quot;properties&quot;:{&quot;noteIndex&quot;:0},&quot;isEdited&quot;:false,&quot;manualOverride&quot;:{&quot;isManuallyOverridden&quot;:true,&quot;citeprocText&quot;:&quot;(Zhang et al., 2022)&quot;,&quot;manualOverrideText&quot;:&quot;(Nugroho &amp; Santoso, 2021; Prasetyo et al., 2023)&quot;},&quot;citationTag&quot;:&quot;MENDELEY_CITATION_v3_eyJjaXRhdGlvbklEIjoiTUVOREVMRVlfQ0lUQVRJT05fYTc5ZmMyODgtYWM4ZC00NjcxLWI2NzAtYWQ4YjA2MGJjMDg4IiwicHJvcGVydGllcyI6eyJub3RlSW5kZXgiOjB9LCJpc0VkaXRlZCI6ZmFsc2UsIm1hbnVhbE92ZXJyaWRlIjp7ImlzTWFudWFsbHlPdmVycmlkZGVuIjp0cnVlLCJjaXRlcHJvY1RleHQiOiIoWmhhbmcgZXQgYWwuLCAyMDIyKSIsIm1hbnVhbE92ZXJyaWRlVGV4dCI6IihOdWdyb2hvICYgU2FudG9zbywgMjAyMTsgUHJhc2V0eW8gZXQgYWwuLCAyMDIzKSJ9LCJjaXRhdGlvbkl0ZW1zIjpbeyJpZCI6ImJjNWZmZGYxLTE0M2UtM2ZhNS1iOGM4LWJlZGEzMzQ5ZDVlYyIsIml0ZW1EYXRhIjp7InR5cGUiOiJhcnRpY2xlLWpvdXJuYWwiLCJpZCI6ImJjNWZmZGYxLTE0M2UtM2ZhNS1iOGM4LWJlZGEzMzQ5ZDVlYyIsInRpdGxlIjoiVm9sYXRpbGl0eSBzcGlsbG92ZXIgYW5kIGludmVzdG1lbnQgc3RyYXRlZ2llcyBhbW9uZyBzdXN0YWluYWJpbGl0eS1yZWxhdGVkIGZpbmFuY2lhbCBpbmRleGVzOiBFdmlkZW5jZSBmcm9tIHRoZSBEQ0MtR0FSQ0gtYmFzZWQgZHluYW1pYyBjb25uZWN0ZWRuZXNzIGFuZCBEQ0MtR0FSQ0ggdC1jb3B1bGEgYXBwcm9hY2giLCJhdXRob3IiOlt7ImZhbWlseSI6IlpoYW5nIiwiZ2l2ZW4iOiJXZW50aW5nIiwicGFyc2UtbmFtZXMiOmZhbHNlLCJkcm9wcGluZy1wYXJ0aWNsZSI6IiIsIm5vbi1kcm9wcGluZy1wYXJ0aWNsZSI6IiJ9LHsiZmFtaWx5IjoiSGUiLCJnaXZlbiI6IlhpZSIsInBhcnNlLW5hbWVzIjpmYWxzZSwiZHJvcHBpbmctcGFydGljbGUiOiIiLCJub24tZHJvcHBpbmctcGFydGljbGUiOiIifSx7ImZhbWlseSI6IkhhbW9yaSIsImdpdmVuIjoiU2hpZ2V5dWtpIiwicGFyc2UtbmFtZXMiOmZhbHNlLCJkcm9wcGluZy1wYXJ0aWNsZSI6IiIsIm5vbi1kcm9wcGluZy1wYXJ0aWNsZSI6IiJ9XSwiY29udGFpbmVyLXRpdGxlIjoiSW50ZXJuYXRpb25hbCBSZXZpZXcgb2YgRmluYW5jaWFsIEFuYWx5c2lzIiwiYWNjZXNzZWQiOnsiZGF0ZS1wYXJ0cyI6W1syMDI1LDEwLDIyXV19LCJET0kiOiIxMC4xMDE2L0ouSVJGQS4yMDIyLjEwMjIyMyIsIklTU04iOiIxMDU3LTUyMTkiLCJVUkwiOiJodHRwczovL3d3dy5zY2llbmNlZGlyZWN0LmNvbS9zY2llbmNlL2FydGljbGUvYWJzL3BpaS9TMTA1NzUyMTkyMjAwMTg0MyIsImlzc3VlZCI6eyJkYXRlLXBhcnRzIjpbWzIwMjIsMTAsMV1dfSwicGFnZSI6IjEwMjIyMyIsImFic3RyYWN0IjoiVGhpcyBzdHVkeSBhbmFseXplcyB0aGUgZHluYW1pYyBjb25uZWN0ZWRuZXNzIGJldHdlZW4gdGhlIEVTRyBzdG9jayBpbmRleCwgdGhlIHJlbmV3YWJsZSBlbmVyZ3kgc3RvY2sgaW5kZXgsIHRoZSBncmVlbiBib25kIHN0b2NrIGluZGV4LCB0aGUgc3VzdGFpbmFiaWxpdHkgc3RvY2sgaW5kZXgsIGFuZCB0aGUgY2FyYm9uIGVtaXNzaW9uIGZ1dHVyZXMgYnkgZW1wbG95aW5nIGEgbm92ZWwgbWV0aG9kOiB0aGUgRENDLUdBUkNILWJhc2VkIGR5bmFtaWMgY29ubmVjdGVkbmVzcyBhcHByb2FjaC4gR2l2ZW4gdGhlIHN0cm9uZyB2b2xhdGlsaXR5IHNwaWxsb3ZlciBhbW9uZyB0aGVzZSBpbmRleGVzLCB3ZSBhZG9wdCB0aGUgRENDLUdBUkNIIHQtY29wdWxhIG1vZGVsIHRvIGNhbGN1bGF0ZSB0aGVzZSBpbmRleGVzJyBoZWRnaW5nIHJhdGlvcyBhbmQgcG9ydGZvbGlvIHdlaWdodHMuIE91ciBmaW5kaW5ncyBzaG93IHRoYXQgdGhlIGNhcmJvbiBlbWlzc2lvbiBmdXR1cmVzIGFyZSB0aGUgdm9sYXRpbGl0eSB0cmFuc21pdHRlciwgYW5kIHRoZSBncmVlbiBib25kIGlzIHRoZSB2b2xhdGlsaXR5IHJlY2VpdmVyLiBUaGUgdG90YWwgZHluYW1pYyBjb25uZWN0ZWRuZXNzIGlzIGFmZmVjdGVkIGJ5IGludGVybmF0aW9uYWwgcG9saXRpY2FsLCBlY29ub21pYywgYW5kIG90aGVyIGV2ZW50cy4gRnVydGhlcm1vcmUsIGZvciBzdG9jayBtYXJrZXQgdm9sYXRpbGl0eSBpbnZlc3RvcnMsIHRha2luZyB0aGUgbG9uZyBwb3NpdGlvbiBpbiBjYXJib24gZW1pc3Npb24gZnV0dXJlcyBhbmQgdGhlIHNob3J0IHBvc2l0aW9uIGluIHJlbmV3YWJsZSBlbmVyZ3kgc3RvY2sgY2FuIGFjaGlldmUgdGhlIGhpZ2hlc3QgaGVkZ2luZyBlZmZlY3QuIiwicHVibGlzaGVyIjoiTm9ydGgtSG9sbGFuZCIsInZvbHVtZSI6IjgzIiwiY29udGFpbmVyLXRpdGxlLXNob3J0IjoiIn0sImlzVGVtcG9yYXJ5IjpmYWxzZX1dfQ==&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5fe34ebc-818f-445d-9799-5b365f87444a&quot;,&quot;properties&quot;:{&quot;noteIndex&quot;:0},&quot;isEdited&quot;:false,&quot;manualOverride&quot;:{&quot;isManuallyOverridden&quot;:true,&quot;citeprocText&quot;:&quot;(Zhang et al., 2022)&quot;,&quot;manualOverrideText&quot;:&quot;(Widiastuti &amp; Prabowo, 2022)&quot;},&quot;citationTag&quot;:&quot;MENDELEY_CITATION_v3_eyJjaXRhdGlvbklEIjoiTUVOREVMRVlfQ0lUQVRJT05fNWZlMzRlYmMtODE4Zi00NDVkLTk3OTktNWIzNjVmODc0NDRhIiwicHJvcGVydGllcyI6eyJub3RlSW5kZXgiOjB9LCJpc0VkaXRlZCI6ZmFsc2UsIm1hbnVhbE92ZXJyaWRlIjp7ImlzTWFudWFsbHlPdmVycmlkZGVuIjp0cnVlLCJjaXRlcHJvY1RleHQiOiIoWmhhbmcgZXQgYWwuLCAyMDIyKSIsIm1hbnVhbE92ZXJyaWRlVGV4dCI6IihXaWRpYXN0dXRpICYgUHJhYm93by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7849fda1-caf8-4d2e-8007-abf472cf8a7f&quot;,&quot;properties&quot;:{&quot;noteIndex&quot;:0},&quot;isEdited&quot;:false,&quot;manualOverride&quot;:{&quot;isManuallyOverridden&quot;:true,&quot;citeprocText&quot;:&quot;(Zhang et al., 2022)&quot;,&quot;manualOverrideText&quot;:&quot;(Setiawan &amp; Lestari, 2021)&quot;},&quot;citationTag&quot;:&quot;MENDELEY_CITATION_v3_eyJjaXRhdGlvbklEIjoiTUVOREVMRVlfQ0lUQVRJT05fNzg0OWZkYTEtY2FmOC00ZDJlLTgwMDctYWJmNDcyY2Y4YTdmIiwicHJvcGVydGllcyI6eyJub3RlSW5kZXgiOjB9LCJpc0VkaXRlZCI6ZmFsc2UsIm1hbnVhbE92ZXJyaWRlIjp7ImlzTWFudWFsbHlPdmVycmlkZGVuIjp0cnVlLCJjaXRlcHJvY1RleHQiOiIoWmhhbmcgZXQgYWwuLCAyMDIyKSIsIm1hbnVhbE92ZXJyaWRlVGV4dCI6IihTZXRpYXdhbiAmIExlc3RhcmksIDIwMjE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e69affbd-f8c9-4ff6-8e83-2558531047fc&quot;,&quot;properties&quot;:{&quot;noteIndex&quot;:0},&quot;isEdited&quot;:false,&quot;manualOverride&quot;:{&quot;isManuallyOverridden&quot;:true,&quot;citeprocText&quot;:&quot;(Zhang et al., 2022)&quot;,&quot;manualOverrideText&quot;:&quot;(Chong et al., 2021)&quot;},&quot;citationTag&quot;:&quot;MENDELEY_CITATION_v3_eyJjaXRhdGlvbklEIjoiTUVOREVMRVlfQ0lUQVRJT05fZTY5YWZmYmQtZjhjOS00ZmY2LThlODMtMjU1ODUzMTA0N2ZjIiwicHJvcGVydGllcyI6eyJub3RlSW5kZXgiOjB9LCJpc0VkaXRlZCI6ZmFsc2UsIm1hbnVhbE92ZXJyaWRlIjp7ImlzTWFudWFsbHlPdmVycmlkZGVuIjp0cnVlLCJjaXRlcHJvY1RleHQiOiIoWmhhbmcgZXQgYWwuLCAyMDIyKSIsIm1hbnVhbE92ZXJyaWRlVGV4dCI6IihDaG9uZyBldCBhbC4sIDIwMjE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2690dda4-b206-462e-be90-13f5ad192c5d&quot;,&quot;properties&quot;:{&quot;noteIndex&quot;:0},&quot;isEdited&quot;:false,&quot;manualOverride&quot;:{&quot;isManuallyOverridden&quot;:true,&quot;citeprocText&quot;:&quot;(Zhang et al., 2022)&quot;,&quot;manualOverrideText&quot;:&quot;(Prabowo &amp; Sari, 2021)&quot;},&quot;citationTag&quot;:&quot;MENDELEY_CITATION_v3_eyJjaXRhdGlvbklEIjoiTUVOREVMRVlfQ0lUQVRJT05fMjY5MGRkYTQtYjIwNi00NjJlLWJlOTAtMTNmNWFkMTkyYzVkIiwicHJvcGVydGllcyI6eyJub3RlSW5kZXgiOjB9LCJpc0VkaXRlZCI6ZmFsc2UsIm1hbnVhbE92ZXJyaWRlIjp7ImlzTWFudWFsbHlPdmVycmlkZGVuIjp0cnVlLCJjaXRlcHJvY1RleHQiOiIoWmhhbmcgZXQgYWwuLCAyMDIyKSIsIm1hbnVhbE92ZXJyaWRlVGV4dCI6IihQcmFib3dvICYgU2FyaS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153b7ee0-01bc-4bd1-87b0-60a7e09402e0&quot;,&quot;properties&quot;:{&quot;noteIndex&quot;:0},&quot;isEdited&quot;:false,&quot;manualOverride&quot;:{&quot;isManuallyOverridden&quot;:true,&quot;citeprocText&quot;:&quot;(Zhang et al., 2022)&quot;,&quot;manualOverrideText&quot;:&quot;(OJK, 2022)&quot;},&quot;citationTag&quot;:&quot;MENDELEY_CITATION_v3_eyJjaXRhdGlvbklEIjoiTUVOREVMRVlfQ0lUQVRJT05fMTUzYjdlZTAtMDFiYy00YmQxLTg3YjAtNjBhN2UwOTQwMmUwIiwicHJvcGVydGllcyI6eyJub3RlSW5kZXgiOjB9LCJpc0VkaXRlZCI6ZmFsc2UsIm1hbnVhbE92ZXJyaWRlIjp7ImlzTWFudWFsbHlPdmVycmlkZGVuIjp0cnVlLCJjaXRlcHJvY1RleHQiOiIoWmhhbmcgZXQgYWwuLCAyMDIyKSIsIm1hbnVhbE92ZXJyaWRlVGV4dCI6IihPSkssIDIwMjIpIn0sImNpdGF0aW9uSXRlbXMiOlt7ImlkIjoiYmM1ZmZkZjEtMTQzZS0zZmE1LWI4YzgtYmVkYTMzNDlkNWVjIiwiaXRlbURhdGEiOnsidHlwZSI6ImFydGljbGUtam91cm5hbCIsImlkIjoiYmM1ZmZkZjEtMTQzZS0zZmE1LWI4YzgtYmVkYTMzNDlkNWVjIiwidGl0bGUiOiJWb2xhdGlsaXR5IHNwaWxsb3ZlciBhbmQgaW52ZXN0bWVudCBzdHJhdGVnaWVzIGFtb25nIHN1c3RhaW5hYmlsaXR5LXJlbGF0ZWQgZmluYW5jaWFsIGluZGV4ZXM6IEV2aWRlbmNlIGZyb20gdGhlIERDQy1HQVJDSC1iYXNlZCBkeW5hbWljIGNvbm5lY3RlZG5lc3MgYW5kIERDQy1HQVJDSCB0LWNvcHVsYSBhcHByb2FjaCIsImF1dGhvciI6W3siZmFtaWx5IjoiWmhhbmciLCJnaXZlbiI6IldlbnRpbmciLCJwYXJzZS1uYW1lcyI6ZmFsc2UsImRyb3BwaW5nLXBhcnRpY2xlIjoiIiwibm9uLWRyb3BwaW5nLXBhcnRpY2xlIjoiIn0seyJmYW1pbHkiOiJIZSIsImdpdmVuIjoiWGllIiwicGFyc2UtbmFtZXMiOmZhbHNlLCJkcm9wcGluZy1wYXJ0aWNsZSI6IiIsIm5vbi1kcm9wcGluZy1wYXJ0aWNsZSI6IiJ9LHsiZmFtaWx5IjoiSGFtb3JpIiwiZ2l2ZW4iOiJTaGlnZXl1a2kiLCJwYXJzZS1uYW1lcyI6ZmFsc2UsImRyb3BwaW5nLXBhcnRpY2xlIjoiIiwibm9uLWRyb3BwaW5nLXBhcnRpY2xlIjoiIn1dLCJjb250YWluZXItdGl0bGUiOiJJbnRlcm5hdGlvbmFsIFJldmlldyBvZiBGaW5hbmNpYWwgQW5hbHlzaXMiLCJhY2Nlc3NlZCI6eyJkYXRlLXBhcnRzIjpbWzIwMjUsMTAsMjJdXX0sIkRPSSI6IjEwLjEwMTYvSi5JUkZBLjIwMjIuMTAyMjIzIiwiSVNTTiI6IjEwNTctNTIxOSIsIlVSTCI6Imh0dHBzOi8vd3d3LnNjaWVuY2VkaXJlY3QuY29tL3NjaWVuY2UvYXJ0aWNsZS9hYnMvcGlpL1MxMDU3NTIxOTIyMDAxODQzIiwiaXNzdWVkIjp7ImRhdGUtcGFydHMiOltbMjAyMiwxMCwxXV19LCJwYWdlIjoiMTAyMjIzIiwiYWJzdHJhY3QiOiJUaGlzIHN0dWR5IGFuYWx5emVzIHRoZSBkeW5hbWljIGNvbm5lY3RlZG5lc3MgYmV0d2VlbiB0aGUgRVNHIHN0b2NrIGluZGV4LCB0aGUgcmVuZXdhYmxlIGVuZXJneSBzdG9jayBpbmRleCwgdGhlIGdyZWVuIGJvbmQgc3RvY2sgaW5kZXgsIHRoZSBzdXN0YWluYWJpbGl0eSBzdG9jayBpbmRleCwgYW5kIHRoZSBjYXJib24gZW1pc3Npb24gZnV0dXJlcyBieSBlbXBsb3lpbmcgYSBub3ZlbCBtZXRob2Q6IHRoZSBEQ0MtR0FSQ0gtYmFzZWQgZHluYW1pYyBjb25uZWN0ZWRuZXNzIGFwcHJvYWNoLiBHaXZlbiB0aGUgc3Ryb25nIHZvbGF0aWxpdHkgc3BpbGxvdmVyIGFtb25nIHRoZXNlIGluZGV4ZXMsIHdlIGFkb3B0IHRoZSBEQ0MtR0FSQ0ggdC1jb3B1bGEgbW9kZWwgdG8gY2FsY3VsYXRlIHRoZXNlIGluZGV4ZXMnIGhlZGdpbmcgcmF0aW9zIGFuZCBwb3J0Zm9saW8gd2VpZ2h0cy4gT3VyIGZpbmRpbmdzIHNob3cgdGhhdCB0aGUgY2FyYm9uIGVtaXNzaW9uIGZ1dHVyZXMgYXJlIHRoZSB2b2xhdGlsaXR5IHRyYW5zbWl0dGVyLCBhbmQgdGhlIGdyZWVuIGJvbmQgaXMgdGhlIHZvbGF0aWxpdHkgcmVjZWl2ZXIuIFRoZSB0b3RhbCBkeW5hbWljIGNvbm5lY3RlZG5lc3MgaXMgYWZmZWN0ZWQgYnkgaW50ZXJuYXRpb25hbCBwb2xpdGljYWwsIGVjb25vbWljLCBhbmQgb3RoZXIgZXZlbnRzLiBGdXJ0aGVybW9yZSwgZm9yIHN0b2NrIG1hcmtldCB2b2xhdGlsaXR5IGludmVzdG9ycywgdGFraW5nIHRoZSBsb25nIHBvc2l0aW9uIGluIGNhcmJvbiBlbWlzc2lvbiBmdXR1cmVzIGFuZCB0aGUgc2hvcnQgcG9zaXRpb24gaW4gcmVuZXdhYmxlIGVuZXJneSBzdG9jayBjYW4gYWNoaWV2ZSB0aGUgaGlnaGVzdCBoZWRnaW5nIGVmZmVjdC4iLCJwdWJsaXNoZXIiOiJOb3J0aC1Ib2xsYW5kIiwidm9sdW1lIjoiODMiLCJjb250YWluZXItdGl0bGUtc2hvcnQiOiIifSwiaXNUZW1wb3JhcnkiOmZhbHNlfV19&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94fa8b0d-b039-4a47-b337-bcf690f38d7d&quot;,&quot;properties&quot;:{&quot;noteIndex&quot;:0},&quot;isEdited&quot;:false,&quot;manualOverride&quot;:{&quot;isManuallyOverridden&quot;:true,&quot;citeprocText&quot;:&quot;(Zhang et al., 2022)&quot;,&quot;manualOverrideText&quot;:&quot;(Budiarto, 2021)&quot;},&quot;citationTag&quot;:&quot;MENDELEY_CITATION_v3_eyJjaXRhdGlvbklEIjoiTUVOREVMRVlfQ0lUQVRJT05fOTRmYThiMGQtYjAzOS00YTQ3LWIzMzctYmNmNjkwZjM4ZDdkIiwicHJvcGVydGllcyI6eyJub3RlSW5kZXgiOjB9LCJpc0VkaXRlZCI6ZmFsc2UsIm1hbnVhbE92ZXJyaWRlIjp7ImlzTWFudWFsbHlPdmVycmlkZGVuIjp0cnVlLCJjaXRlcHJvY1RleHQiOiIoWmhhbmcgZXQgYWwuLCAyMDIyKSIsIm1hbnVhbE92ZXJyaWRlVGV4dCI6IihCdWRpYXJ0bywgMjAyMS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quot;citationID&quot;:&quot;MENDELEY_CITATION_f8ce5c9f-a6dd-4a0f-8935-f84b11ffc01f&quot;,&quot;properties&quot;:{&quot;noteIndex&quot;:0},&quot;isEdited&quot;:false,&quot;manualOverride&quot;:{&quot;isManuallyOverridden&quot;:true,&quot;citeprocText&quot;:&quot;(Zhang et al., 2022)&quot;,&quot;manualOverrideText&quot;:&quot;(Santoso et al., 2022)&quot;},&quot;citationTag&quot;:&quot;MENDELEY_CITATION_v3_eyJjaXRhdGlvbklEIjoiTUVOREVMRVlfQ0lUQVRJT05fZjhjZTVjOWYtYTZkZC00YTBmLTg5MzUtZjg0YjExZmZjMDFmIiwicHJvcGVydGllcyI6eyJub3RlSW5kZXgiOjB9LCJpc0VkaXRlZCI6ZmFsc2UsIm1hbnVhbE92ZXJyaWRlIjp7ImlzTWFudWFsbHlPdmVycmlkZGVuIjp0cnVlLCJjaXRlcHJvY1RleHQiOiIoWmhhbmcgZXQgYWwuLCAyMDIyKSIsIm1hbnVhbE92ZXJyaWRlVGV4dCI6IihTYW50b3NvIGV0IGFsLiwgMjAyMikifSwiY2l0YXRpb25JdGVtcyI6W3siaWQiOiJiYzVmZmRmMS0xNDNlLTNmYTUtYjhjOC1iZWRhMzM0OWQ1ZWMiLCJpdGVtRGF0YSI6eyJ0eXBlIjoiYXJ0aWNsZS1qb3VybmFsIiwiaWQiOiJiYzVmZmRmMS0xNDNlLTNmYTUtYjhjOC1iZWRhMzM0OWQ1ZWMiLCJ0aXRsZSI6IlZvbGF0aWxpdHkgc3BpbGxvdmVyIGFuZCBpbnZlc3RtZW50IHN0cmF0ZWdpZXMgYW1vbmcgc3VzdGFpbmFiaWxpdHktcmVsYXRlZCBmaW5hbmNpYWwgaW5kZXhlczogRXZpZGVuY2UgZnJvbSB0aGUgRENDLUdBUkNILWJhc2VkIGR5bmFtaWMgY29ubmVjdGVkbmVzcyBhbmQgRENDLUdBUkNIIHQtY29wdWxhIGFwcHJvYWNoIiwiYXV0aG9yIjpbeyJmYW1pbHkiOiJaaGFuZyIsImdpdmVuIjoiV2VudGluZyIsInBhcnNlLW5hbWVzIjpmYWxzZSwiZHJvcHBpbmctcGFydGljbGUiOiIiLCJub24tZHJvcHBpbmctcGFydGljbGUiOiIifSx7ImZhbWlseSI6IkhlIiwiZ2l2ZW4iOiJYaWUiLCJwYXJzZS1uYW1lcyI6ZmFsc2UsImRyb3BwaW5nLXBhcnRpY2xlIjoiIiwibm9uLWRyb3BwaW5nLXBhcnRpY2xlIjoiIn0seyJmYW1pbHkiOiJIYW1vcmkiLCJnaXZlbiI6IlNoaWdleXVraSIsInBhcnNlLW5hbWVzIjpmYWxzZSwiZHJvcHBpbmctcGFydGljbGUiOiIiLCJub24tZHJvcHBpbmctcGFydGljbGUiOiIifV0sImNvbnRhaW5lci10aXRsZSI6IkludGVybmF0aW9uYWwgUmV2aWV3IG9mIEZpbmFuY2lhbCBBbmFseXNpcyIsImFjY2Vzc2VkIjp7ImRhdGUtcGFydHMiOltbMjAyNSwxMCwyMl1dfSwiRE9JIjoiMTAuMTAxNi9KLklSRkEuMjAyMi4xMDIyMjMiLCJJU1NOIjoiMTA1Ny01MjE5IiwiVVJMIjoiaHR0cHM6Ly93d3cuc2NpZW5jZWRpcmVjdC5jb20vc2NpZW5jZS9hcnRpY2xlL2Ficy9waWkvUzEwNTc1MjE5MjIwMDE4NDMiLCJpc3N1ZWQiOnsiZGF0ZS1wYXJ0cyI6W1syMDIyLDEwLDFdXX0sInBhZ2UiOiIxMDIyMjMiLCJhYnN0cmFjdCI6IlRoaXMgc3R1ZHkgYW5hbHl6ZXMgdGhlIGR5bmFtaWMgY29ubmVjdGVkbmVzcyBiZXR3ZWVuIHRoZSBFU0cgc3RvY2sgaW5kZXgsIHRoZSByZW5ld2FibGUgZW5lcmd5IHN0b2NrIGluZGV4LCB0aGUgZ3JlZW4gYm9uZCBzdG9jayBpbmRleCwgdGhlIHN1c3RhaW5hYmlsaXR5IHN0b2NrIGluZGV4LCBhbmQgdGhlIGNhcmJvbiBlbWlzc2lvbiBmdXR1cmVzIGJ5IGVtcGxveWluZyBhIG5vdmVsIG1ldGhvZDogdGhlIERDQy1HQVJDSC1iYXNlZCBkeW5hbWljIGNvbm5lY3RlZG5lc3MgYXBwcm9hY2guIEdpdmVuIHRoZSBzdHJvbmcgdm9sYXRpbGl0eSBzcGlsbG92ZXIgYW1vbmcgdGhlc2UgaW5kZXhlcywgd2UgYWRvcHQgdGhlIERDQy1HQVJDSCB0LWNvcHVsYSBtb2RlbCB0byBjYWxjdWxhdGUgdGhlc2UgaW5kZXhlcycgaGVkZ2luZyByYXRpb3MgYW5kIHBvcnRmb2xpbyB3ZWlnaHRzLiBPdXIgZmluZGluZ3Mgc2hvdyB0aGF0IHRoZSBjYXJib24gZW1pc3Npb24gZnV0dXJlcyBhcmUgdGhlIHZvbGF0aWxpdHkgdHJhbnNtaXR0ZXIsIGFuZCB0aGUgZ3JlZW4gYm9uZCBpcyB0aGUgdm9sYXRpbGl0eSByZWNlaXZlci4gVGhlIHRvdGFsIGR5bmFtaWMgY29ubmVjdGVkbmVzcyBpcyBhZmZlY3RlZCBieSBpbnRlcm5hdGlvbmFsIHBvbGl0aWNhbCwgZWNvbm9taWMsIGFuZCBvdGhlciBldmVudHMuIEZ1cnRoZXJtb3JlLCBmb3Igc3RvY2sgbWFya2V0IHZvbGF0aWxpdHkgaW52ZXN0b3JzLCB0YWtpbmcgdGhlIGxvbmcgcG9zaXRpb24gaW4gY2FyYm9uIGVtaXNzaW9uIGZ1dHVyZXMgYW5kIHRoZSBzaG9ydCBwb3NpdGlvbiBpbiByZW5ld2FibGUgZW5lcmd5IHN0b2NrIGNhbiBhY2hpZXZlIHRoZSBoaWdoZXN0IGhlZGdpbmcgZWZmZWN0LiIsInB1Ymxpc2hlciI6Ik5vcnRoLUhvbGxhbmQiLCJ2b2x1bWUiOiI4MyIsImNvbnRhaW5lci10aXRsZS1zaG9ydCI6IiJ9LCJpc1RlbXBvcmFyeSI6ZmFsc2V9XX0=&quot;,&quot;citationItems&quot;:[{&quot;id&quot;:&quot;bc5ffdf1-143e-3fa5-b8c8-beda3349d5ec&quot;,&quot;itemData&quot;:{&quot;type&quot;:&quot;article-journal&quot;,&quot;id&quot;:&quot;bc5ffdf1-143e-3fa5-b8c8-beda3349d5ec&quot;,&quot;title&quot;:&quot;Volatility spillover and investment strategies among sustainability-related financial indexes: Evidence from the DCC-GARCH-based dynamic connectedness and DCC-GARCH t-copula approach&quot;,&quot;author&quot;:[{&quot;family&quot;:&quot;Zhang&quot;,&quot;given&quot;:&quot;Wenting&quot;,&quot;parse-names&quot;:false,&quot;dropping-particle&quot;:&quot;&quot;,&quot;non-dropping-particle&quot;:&quot;&quot;},{&quot;family&quot;:&quot;He&quot;,&quot;given&quot;:&quot;Xie&quot;,&quot;parse-names&quot;:false,&quot;dropping-particle&quot;:&quot;&quot;,&quot;non-dropping-particle&quot;:&quot;&quot;},{&quot;family&quot;:&quot;Hamori&quot;,&quot;given&quot;:&quot;Shigeyuki&quot;,&quot;parse-names&quot;:false,&quot;dropping-particle&quot;:&quot;&quot;,&quot;non-dropping-particle&quot;:&quot;&quot;}],&quot;container-title&quot;:&quot;International Review of Financial Analysis&quot;,&quot;accessed&quot;:{&quot;date-parts&quot;:[[2025,10,22]]},&quot;DOI&quot;:&quot;10.1016/J.IRFA.2022.102223&quot;,&quot;ISSN&quot;:&quot;1057-5219&quot;,&quot;URL&quot;:&quot;https://www.sciencedirect.com/science/article/abs/pii/S1057521922001843&quot;,&quot;issued&quot;:{&quot;date-parts&quot;:[[2022,10,1]]},&quot;page&quot;:&quot;102223&quot;,&quot;abstract&quot;:&quot;This study analyzes the dynamic connectedness between the ESG stock index, the renewable energy stock index, the green bond stock index, the sustainability stock index, and the carbon emission futures by employing a novel method: the DCC-GARCH-based dynamic connectedness approach. Given the strong volatility spillover among these indexes, we adopt the DCC-GARCH t-copula model to calculate these indexes' hedging ratios and portfolio weights. Our findings show that the carbon emission futures are the volatility transmitter, and the green bond is the volatility receiver. The total dynamic connectedness is affected by international political, economic, and other events. Furthermore, for stock market volatility investors, taking the long position in carbon emission futures and the short position in renewable energy stock can achieve the highest hedging effect.&quot;,&quot;publisher&quot;:&quot;North-Holland&quot;,&quot;volume&quot;:&quot;83&quot;,&quot;container-title-short&quot;:&quot;&quot;},&quot;isTemporary&quot;:false}]}]"/>
    <we:property name="MENDELEY_BIBLIOGRAPHY_LAST_MODIFIED" value="1761102170351"/>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9004A-1513-4351-861B-9BE7BFDB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bprsbaiturrahman@gmail.com</dc:creator>
  <cp:keywords/>
  <dc:description/>
  <cp:lastModifiedBy>Greet Research</cp:lastModifiedBy>
  <cp:revision>7</cp:revision>
  <dcterms:created xsi:type="dcterms:W3CDTF">2025-10-22T03:24:00Z</dcterms:created>
  <dcterms:modified xsi:type="dcterms:W3CDTF">2025-11-04T07:40:00Z</dcterms:modified>
</cp:coreProperties>
</file>